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E6FA" w14:textId="27FD0070" w:rsidR="00A40B26" w:rsidRDefault="00722EB3" w:rsidP="00722EB3">
      <w:pPr>
        <w:jc w:val="center"/>
        <w:rPr>
          <w:b/>
          <w:bCs/>
          <w:lang w:val="en-US"/>
        </w:rPr>
      </w:pPr>
      <w:r>
        <w:rPr>
          <w:b/>
          <w:bCs/>
          <w:lang w:val="en-US"/>
        </w:rPr>
        <w:t>The Hamas Attack of October 7 and the Holding</w:t>
      </w:r>
      <w:r w:rsidR="00B508F3">
        <w:rPr>
          <w:b/>
          <w:bCs/>
          <w:lang w:val="en-US"/>
        </w:rPr>
        <w:t xml:space="preserve"> of Civilians in Captivity by Hamas in the Gaza Strip </w:t>
      </w:r>
      <w:r w:rsidR="00D524AE">
        <w:rPr>
          <w:b/>
          <w:bCs/>
          <w:lang w:val="en-US"/>
        </w:rPr>
        <w:t>A</w:t>
      </w:r>
      <w:r w:rsidR="00B508F3">
        <w:rPr>
          <w:b/>
          <w:bCs/>
          <w:lang w:val="en-US"/>
        </w:rPr>
        <w:t xml:space="preserve">re Tantamount to Torture, Inhuman </w:t>
      </w:r>
      <w:r w:rsidR="00D524AE">
        <w:rPr>
          <w:b/>
          <w:bCs/>
          <w:lang w:val="en-US"/>
        </w:rPr>
        <w:t>and Degrading Treatment and Are Absolutely Forbid</w:t>
      </w:r>
      <w:r w:rsidR="00A11909">
        <w:rPr>
          <w:b/>
          <w:bCs/>
          <w:lang w:val="en-US"/>
        </w:rPr>
        <w:t>den; PCATI Is Making Its Professional Capabilities Available to the Survivors of the Massacre, the Captives, and Their Families</w:t>
      </w:r>
    </w:p>
    <w:p w14:paraId="0740019E" w14:textId="77777777" w:rsidR="00A11909" w:rsidRDefault="00A11909" w:rsidP="00A11909">
      <w:pPr>
        <w:rPr>
          <w:lang w:val="en-US"/>
        </w:rPr>
      </w:pPr>
    </w:p>
    <w:p w14:paraId="108BB611" w14:textId="6ED33A61" w:rsidR="00A11909" w:rsidRDefault="00A11909" w:rsidP="00A11909">
      <w:pPr>
        <w:rPr>
          <w:lang w:val="en-US"/>
        </w:rPr>
      </w:pPr>
      <w:r>
        <w:rPr>
          <w:lang w:val="en-US"/>
        </w:rPr>
        <w:t>The Public Committee against Torture in Israel (PCATI)</w:t>
      </w:r>
      <w:r w:rsidR="00792161">
        <w:rPr>
          <w:lang w:val="en-US"/>
        </w:rPr>
        <w:t>*</w:t>
      </w:r>
      <w:r w:rsidR="00BE5857">
        <w:rPr>
          <w:lang w:val="en-US"/>
        </w:rPr>
        <w:t xml:space="preserve"> was established over 30 years ago to uproot torture in Israel and to defend all survivors of torture. </w:t>
      </w:r>
      <w:r w:rsidR="00014A8C">
        <w:rPr>
          <w:lang w:val="en-US"/>
        </w:rPr>
        <w:t xml:space="preserve">During the </w:t>
      </w:r>
      <w:r w:rsidR="00085D74">
        <w:rPr>
          <w:lang w:val="en-US"/>
        </w:rPr>
        <w:t xml:space="preserve">vicious </w:t>
      </w:r>
      <w:r w:rsidR="00014A8C">
        <w:rPr>
          <w:lang w:val="en-US"/>
        </w:rPr>
        <w:t xml:space="preserve">attack by Hamas against Israel on October 7, 2023, thousands of Israelis and citizens of other countries – including women, children, and elderly people – were the victims of atrocities and abuse by </w:t>
      </w:r>
      <w:r w:rsidR="00B02865">
        <w:rPr>
          <w:lang w:val="en-US"/>
        </w:rPr>
        <w:t>the Hamas</w:t>
      </w:r>
      <w:r w:rsidR="004E542A">
        <w:rPr>
          <w:lang w:val="en-US"/>
        </w:rPr>
        <w:t xml:space="preserve"> attackers. These actions constitute torture, inhuman and degrading treatment strictly prohibited in accordance with international law and constituting war crimes. Some six weeks after the attack, hundreds of civilians and soldiers are still being held by Hamas in the Gaza Strip. The holding of these persons in captivity also constitutes torture, inhuman and degrading treatment.</w:t>
      </w:r>
    </w:p>
    <w:p w14:paraId="4C7A293B" w14:textId="73354D9F" w:rsidR="004E542A" w:rsidRDefault="004E542A" w:rsidP="00A11909">
      <w:pPr>
        <w:rPr>
          <w:lang w:val="en-US"/>
        </w:rPr>
      </w:pPr>
      <w:r>
        <w:rPr>
          <w:lang w:val="en-US"/>
        </w:rPr>
        <w:t xml:space="preserve">PCATI stands alongside the survivors of the attack, the captives, and their families and is offering to make its </w:t>
      </w:r>
      <w:r w:rsidR="00E7280B">
        <w:rPr>
          <w:lang w:val="en-US"/>
        </w:rPr>
        <w:t xml:space="preserve">professional experience available in the field of identification, documentation, and the representation of the survivors of torture. PCATI joins the call to release all the captives quickly. </w:t>
      </w:r>
    </w:p>
    <w:p w14:paraId="2E8EA8F6" w14:textId="77777777" w:rsidR="00E7280B" w:rsidRDefault="00E7280B" w:rsidP="00A11909">
      <w:pPr>
        <w:rPr>
          <w:lang w:val="en-US"/>
        </w:rPr>
      </w:pPr>
    </w:p>
    <w:p w14:paraId="142A5382" w14:textId="1C38FA3F" w:rsidR="00E7280B" w:rsidRDefault="00E7280B" w:rsidP="00A11909">
      <w:pPr>
        <w:rPr>
          <w:u w:val="single"/>
          <w:lang w:val="en-US"/>
        </w:rPr>
      </w:pPr>
      <w:r>
        <w:rPr>
          <w:u w:val="single"/>
          <w:lang w:val="en-US"/>
        </w:rPr>
        <w:t xml:space="preserve">Background: The Events of the Massacre On October 7 and Their Ramifications </w:t>
      </w:r>
    </w:p>
    <w:p w14:paraId="7BB2151C" w14:textId="11A54537" w:rsidR="00E7280B" w:rsidRDefault="00E7280B" w:rsidP="00E7280B">
      <w:pPr>
        <w:rPr>
          <w:lang w:val="en-US"/>
        </w:rPr>
      </w:pPr>
      <w:r>
        <w:rPr>
          <w:lang w:val="en-US"/>
        </w:rPr>
        <w:t xml:space="preserve">The murderous, </w:t>
      </w:r>
      <w:r w:rsidR="00E32623">
        <w:rPr>
          <w:lang w:val="en-US"/>
        </w:rPr>
        <w:t>proactive, and preplanned attack by Hamas on October 7 left behind a horrifying trail of death, destruction, suffering, and devastation. The attackers – Hamas activists and</w:t>
      </w:r>
      <w:r w:rsidR="0086544B">
        <w:rPr>
          <w:lang w:val="en-US"/>
        </w:rPr>
        <w:t xml:space="preserve"> members of other organizations in the Gaza Strip – committed shocking massacres and the wholesale slaughter of Israeli and foreign civilians, including children, women, and sick and elderly people. </w:t>
      </w:r>
    </w:p>
    <w:p w14:paraId="69C376B0" w14:textId="384CDEC8" w:rsidR="0086544B" w:rsidRDefault="0086544B" w:rsidP="00E7280B">
      <w:pPr>
        <w:rPr>
          <w:lang w:val="en-US"/>
        </w:rPr>
      </w:pPr>
      <w:r>
        <w:rPr>
          <w:lang w:val="en-US"/>
        </w:rPr>
        <w:t xml:space="preserve">Over 1,200 Israeli and foreign citizens were murdered in the Hamas attack. Thousands were injured, including many who survived serious multisystemic injuries and will require years of rehabilitation. </w:t>
      </w:r>
      <w:r w:rsidR="00427D5D">
        <w:rPr>
          <w:lang w:val="en-US"/>
        </w:rPr>
        <w:t xml:space="preserve">Thousands of people, including </w:t>
      </w:r>
      <w:r w:rsidR="003E313A">
        <w:rPr>
          <w:lang w:val="en-US"/>
        </w:rPr>
        <w:t xml:space="preserve">children, survived the horrors but will be left with psychological scars. </w:t>
      </w:r>
      <w:r w:rsidR="00FB71E9">
        <w:rPr>
          <w:lang w:val="en-US"/>
        </w:rPr>
        <w:t xml:space="preserve">Over 200 children, women, and men are still being held captive by Hamas and other organizations in the Gaza Strip, including some </w:t>
      </w:r>
      <w:r w:rsidR="00A04ED0">
        <w:rPr>
          <w:lang w:val="en-US"/>
        </w:rPr>
        <w:t xml:space="preserve">who require medical treatment and assistance. </w:t>
      </w:r>
    </w:p>
    <w:p w14:paraId="5D0CEB00" w14:textId="77777777" w:rsidR="004F518D" w:rsidRDefault="00A04ED0" w:rsidP="00E7280B">
      <w:pPr>
        <w:rPr>
          <w:lang w:val="en-US"/>
        </w:rPr>
      </w:pPr>
      <w:r>
        <w:rPr>
          <w:lang w:val="en-US"/>
        </w:rPr>
        <w:t xml:space="preserve">The terrible cruelty of the Hamas attack is completely </w:t>
      </w:r>
      <w:r w:rsidR="00EA3A79">
        <w:rPr>
          <w:lang w:val="en-US"/>
        </w:rPr>
        <w:t xml:space="preserve">incompatible with </w:t>
      </w:r>
      <w:r>
        <w:rPr>
          <w:lang w:val="en-US"/>
        </w:rPr>
        <w:t>any moral standards and completely</w:t>
      </w:r>
      <w:r w:rsidR="00EA3A79">
        <w:rPr>
          <w:lang w:val="en-US"/>
        </w:rPr>
        <w:t xml:space="preserve"> contrary to international law. </w:t>
      </w:r>
      <w:r w:rsidR="00445385">
        <w:rPr>
          <w:lang w:val="en-US"/>
        </w:rPr>
        <w:t xml:space="preserve">It is imperative to state without any reservation that there is not and cannot be any justification for the murder of civilians and for the unbridled abuse of helpless </w:t>
      </w:r>
      <w:r w:rsidR="004F518D">
        <w:rPr>
          <w:lang w:val="en-US"/>
        </w:rPr>
        <w:t>people, nor for the kidnapping of women, men, and children.</w:t>
      </w:r>
    </w:p>
    <w:p w14:paraId="53849612" w14:textId="77777777" w:rsidR="004B0877" w:rsidRDefault="004F518D" w:rsidP="00E7280B">
      <w:pPr>
        <w:rPr>
          <w:lang w:val="en-US" w:bidi="ar-JO"/>
        </w:rPr>
      </w:pPr>
      <w:r>
        <w:rPr>
          <w:lang w:val="en-US"/>
        </w:rPr>
        <w:lastRenderedPageBreak/>
        <w:t xml:space="preserve">As a longstanding </w:t>
      </w:r>
      <w:r w:rsidR="00554867">
        <w:rPr>
          <w:lang w:val="en-US"/>
        </w:rPr>
        <w:t xml:space="preserve">human rights organization, we </w:t>
      </w:r>
      <w:r w:rsidR="00A71BEC">
        <w:rPr>
          <w:lang w:val="en-US"/>
        </w:rPr>
        <w:t>strongly and clearly criticize Israel for human rights violations committed in the Occupied Territory, for systematically torturing Palestinians, for imprisoning thousands with a fair trail through administrative detentions and in harsh conditions of incarceration, and for violating international law every day both in the occupied West Bank and East Jerusalem and in the Gaza Strip, which has been under siege for 16 years</w:t>
      </w:r>
      <w:r w:rsidR="00E3437B">
        <w:rPr>
          <w:lang w:val="en-US"/>
        </w:rPr>
        <w:t xml:space="preserve">. Despite the heavy mourning felt by Israelis at this time, and the </w:t>
      </w:r>
      <w:r w:rsidR="0004307A">
        <w:rPr>
          <w:lang w:val="en-US" w:bidi="ar-JO"/>
        </w:rPr>
        <w:t xml:space="preserve">petrifying concern for the fate of the captives, the war crimes committed by Hamas activists in the Gaza Envelope area do not constitute an excuse or permit for </w:t>
      </w:r>
      <w:r w:rsidR="004B0877">
        <w:rPr>
          <w:lang w:val="en-US" w:bidi="ar-JO"/>
        </w:rPr>
        <w:t xml:space="preserve">the severe and indiscriminate harming of Palestinian civilians in the Gaza Strip, or for violent attacks against the population in the West Bank. </w:t>
      </w:r>
    </w:p>
    <w:p w14:paraId="7F37D57C" w14:textId="77777777" w:rsidR="00E529E8" w:rsidRDefault="00627A55" w:rsidP="00E7280B">
      <w:pPr>
        <w:rPr>
          <w:lang w:val="en-US" w:bidi="ar-JO"/>
        </w:rPr>
      </w:pPr>
      <w:r>
        <w:rPr>
          <w:lang w:val="en-US" w:bidi="ar-JO"/>
        </w:rPr>
        <w:t xml:space="preserve">Equally, the criticism we have leveled on numerous occasions before and since the outbreak of the war cannot and must not </w:t>
      </w:r>
      <w:r w:rsidR="006E56F9">
        <w:rPr>
          <w:lang w:val="en-US" w:bidi="ar-JO"/>
        </w:rPr>
        <w:t>serve as legal or moral justification for Hamas’s crimes. Accordingly, this position paper is devoted to the condition of the Israeli victims of a</w:t>
      </w:r>
      <w:r w:rsidR="00D77205">
        <w:rPr>
          <w:lang w:val="en-US" w:bidi="ar-JO"/>
        </w:rPr>
        <w:t xml:space="preserve">n attack unprecedented in its scope and severity. It aims to offer a preliminary analysis of their legal situation and of the types of </w:t>
      </w:r>
      <w:r w:rsidR="00E529E8">
        <w:rPr>
          <w:lang w:val="en-US" w:bidi="ar-JO"/>
        </w:rPr>
        <w:t xml:space="preserve">relief we believe we can provide them. </w:t>
      </w:r>
    </w:p>
    <w:p w14:paraId="587A4B64" w14:textId="77777777" w:rsidR="00E529E8" w:rsidRDefault="00E529E8" w:rsidP="00E7280B">
      <w:pPr>
        <w:rPr>
          <w:u w:val="single"/>
          <w:lang w:val="en-US" w:bidi="ar-JO"/>
        </w:rPr>
      </w:pPr>
      <w:r>
        <w:rPr>
          <w:u w:val="single"/>
          <w:lang w:val="en-US" w:bidi="ar-JO"/>
        </w:rPr>
        <w:t>The Massacre Events and the Holding of Captives Amount to Torture, Unhuman and Degrading Treatment and Constitute a War Crime</w:t>
      </w:r>
    </w:p>
    <w:p w14:paraId="041E53CD" w14:textId="77777777" w:rsidR="000E0DEF" w:rsidRDefault="00E529E8" w:rsidP="00E529E8">
      <w:pPr>
        <w:rPr>
          <w:lang w:val="en-US" w:bidi="ar-JO"/>
        </w:rPr>
      </w:pPr>
      <w:r>
        <w:rPr>
          <w:lang w:val="en-US" w:bidi="ar-JO"/>
        </w:rPr>
        <w:t xml:space="preserve">The acts committed by Hamas on October 7, 2023, within the territory of Israel, </w:t>
      </w:r>
      <w:r w:rsidR="00D14DB2">
        <w:rPr>
          <w:lang w:val="en-US" w:bidi="ar-JO"/>
        </w:rPr>
        <w:t xml:space="preserve">included </w:t>
      </w:r>
      <w:r>
        <w:rPr>
          <w:lang w:val="en-US" w:bidi="ar-JO"/>
        </w:rPr>
        <w:t>the deliberate murder and abuse of civilians, including sexual violence, and the kidnapping of civilians for the purpose of applying pressure on the State of Israel and in order to condition their release on actions by Israel</w:t>
      </w:r>
      <w:r w:rsidR="00D14DB2">
        <w:rPr>
          <w:lang w:val="en-US" w:bidi="ar-JO"/>
        </w:rPr>
        <w:t>.</w:t>
      </w:r>
      <w:r>
        <w:rPr>
          <w:rStyle w:val="FootnoteReference"/>
          <w:lang w:val="en-US" w:bidi="ar-JO"/>
        </w:rPr>
        <w:footnoteReference w:id="1"/>
      </w:r>
      <w:r w:rsidR="00BE78F1">
        <w:rPr>
          <w:lang w:val="en-US" w:bidi="ar-JO"/>
        </w:rPr>
        <w:t xml:space="preserve"> </w:t>
      </w:r>
      <w:r w:rsidR="00D14DB2">
        <w:rPr>
          <w:lang w:val="en-US" w:bidi="ar-JO"/>
        </w:rPr>
        <w:t xml:space="preserve">These acts </w:t>
      </w:r>
      <w:r w:rsidR="00F8259F">
        <w:rPr>
          <w:lang w:val="en-US" w:bidi="ar-JO"/>
        </w:rPr>
        <w:t>constitute a grave violation of the rules of international humanitarian law</w:t>
      </w:r>
      <w:r w:rsidR="001B0C9E">
        <w:rPr>
          <w:lang w:val="en-US" w:bidi="ar-JO"/>
        </w:rPr>
        <w:t xml:space="preserve"> </w:t>
      </w:r>
      <w:r w:rsidR="00281FEB">
        <w:rPr>
          <w:lang w:val="en-US" w:bidi="ar-JO"/>
        </w:rPr>
        <w:t>–</w:t>
      </w:r>
      <w:r w:rsidR="00445940">
        <w:rPr>
          <w:lang w:val="en-US" w:bidi="ar-JO"/>
        </w:rPr>
        <w:t xml:space="preserve"> treaty</w:t>
      </w:r>
      <w:r w:rsidR="00445940">
        <w:rPr>
          <w:rStyle w:val="FootnoteReference"/>
          <w:lang w:val="en-US" w:bidi="ar-JO"/>
        </w:rPr>
        <w:footnoteReference w:id="2"/>
      </w:r>
      <w:r w:rsidR="00281FEB">
        <w:rPr>
          <w:lang w:val="en-US" w:bidi="ar-JO"/>
        </w:rPr>
        <w:t xml:space="preserve"> and customary</w:t>
      </w:r>
      <w:r w:rsidR="00FC5BB2">
        <w:rPr>
          <w:lang w:val="en-US" w:bidi="ar-JO"/>
        </w:rPr>
        <w:t>,</w:t>
      </w:r>
      <w:r w:rsidR="00281FEB">
        <w:rPr>
          <w:rStyle w:val="FootnoteReference"/>
          <w:lang w:val="en-US" w:bidi="ar-JO"/>
        </w:rPr>
        <w:footnoteReference w:id="3"/>
      </w:r>
      <w:r w:rsidR="00FC5BB2">
        <w:rPr>
          <w:lang w:val="en-US" w:bidi="ar-JO"/>
        </w:rPr>
        <w:t xml:space="preserve"> which also apply to Hamas, and constitute war crimes in accordance with the Treaty of Rome of the International Criminal Court in The Hague.</w:t>
      </w:r>
      <w:r w:rsidR="00FC5BB2">
        <w:rPr>
          <w:rStyle w:val="FootnoteReference"/>
          <w:lang w:val="en-US" w:bidi="ar-JO"/>
        </w:rPr>
        <w:footnoteReference w:id="4"/>
      </w:r>
      <w:r w:rsidR="00141C19">
        <w:rPr>
          <w:lang w:val="en-US" w:bidi="ar-JO"/>
        </w:rPr>
        <w:t xml:space="preserve"> The continued holding of the </w:t>
      </w:r>
      <w:r w:rsidR="000E0DEF">
        <w:rPr>
          <w:lang w:val="en-US" w:bidi="ar-JO"/>
        </w:rPr>
        <w:t>captives also constitutes a war crime.</w:t>
      </w:r>
    </w:p>
    <w:p w14:paraId="67D31792" w14:textId="0BBC559B" w:rsidR="00A04ED0" w:rsidRDefault="000E0DEF" w:rsidP="00E529E8">
      <w:pPr>
        <w:rPr>
          <w:lang w:val="en-US"/>
        </w:rPr>
      </w:pPr>
      <w:r>
        <w:rPr>
          <w:lang w:val="en-US" w:bidi="ar-JO"/>
        </w:rPr>
        <w:t>The prohibitions against violence, murder, maiming, sexual abuse, and torture apply in every situation and to every conflict, and these continue to apply now. At the time of writing, we do not know how the captives are being treated</w:t>
      </w:r>
      <w:r w:rsidR="00305D25">
        <w:rPr>
          <w:lang w:val="en-US" w:bidi="ar-JO"/>
        </w:rPr>
        <w:t>; we hope they are well. However, the little we know is that they are held in total isolation from the outside world, without the possibility to meet representatives of the Red Cross, without the possibility to talk to their families, without the possibility to know what has happened to their families who remained in Israel, and without knowing when and how their captivity will end</w:t>
      </w:r>
      <w:r w:rsidR="003615BE">
        <w:rPr>
          <w:lang w:val="en-US" w:bidi="ar-JO"/>
        </w:rPr>
        <w:t xml:space="preserve">, creating a harsh sense </w:t>
      </w:r>
      <w:r w:rsidR="003615BE">
        <w:rPr>
          <w:lang w:val="en-US" w:bidi="ar-JO"/>
        </w:rPr>
        <w:lastRenderedPageBreak/>
        <w:t>of helplessness. All these together constitute torture in themselves, and certainly so in light of the protracted length of time that has passed since the date of their kidnapping.</w:t>
      </w:r>
      <w:r w:rsidR="003615BE">
        <w:rPr>
          <w:rStyle w:val="FootnoteReference"/>
          <w:lang w:val="en-US" w:bidi="ar-JO"/>
        </w:rPr>
        <w:footnoteReference w:id="5"/>
      </w:r>
      <w:r w:rsidR="00247EFC">
        <w:rPr>
          <w:lang w:val="en-US" w:bidi="ar-JO"/>
        </w:rPr>
        <w:t xml:space="preserve"> </w:t>
      </w:r>
      <w:r w:rsidR="00731123">
        <w:rPr>
          <w:lang w:val="en-US"/>
        </w:rPr>
        <w:t xml:space="preserve"> </w:t>
      </w:r>
    </w:p>
    <w:p w14:paraId="1F323EAF" w14:textId="2DCDEA9E" w:rsidR="003A4556" w:rsidRDefault="003A4556" w:rsidP="00E529E8">
      <w:pPr>
        <w:rPr>
          <w:b/>
          <w:bCs/>
          <w:lang w:val="en-US"/>
        </w:rPr>
      </w:pPr>
      <w:r>
        <w:rPr>
          <w:b/>
          <w:bCs/>
          <w:lang w:val="en-US"/>
        </w:rPr>
        <w:t xml:space="preserve">Both the survivors of the massacre in the Gaza Envelope on October 7 and all persons currently held captive have been the victims of torture and inhuman, cruel, and degrading treatment and the victims of a war crime. As such, they are entitled to the cessation of the torture – i.e., their immediate release – as well as to justice, truth, and rehabilitation in the spirit of the Convention Against Torture. </w:t>
      </w:r>
    </w:p>
    <w:p w14:paraId="724483D3" w14:textId="67376E73" w:rsidR="003A4556" w:rsidRDefault="00EC6B90" w:rsidP="003A4556">
      <w:pPr>
        <w:rPr>
          <w:lang w:val="en-US"/>
        </w:rPr>
      </w:pPr>
      <w:r>
        <w:rPr>
          <w:u w:val="single"/>
          <w:lang w:val="en-US"/>
        </w:rPr>
        <w:t xml:space="preserve">The crimes and their physical and psychological ramifications should be documented in an appropriate and professional manner in order to bring justice for the survivors </w:t>
      </w:r>
    </w:p>
    <w:p w14:paraId="7666ECFF" w14:textId="134466C6" w:rsidR="00EC6B90" w:rsidRDefault="00EC6B90" w:rsidP="003A4556">
      <w:pPr>
        <w:rPr>
          <w:lang w:val="en-US"/>
        </w:rPr>
      </w:pPr>
      <w:r>
        <w:rPr>
          <w:lang w:val="en-US"/>
        </w:rPr>
        <w:t>The Istanbul Protocol,</w:t>
      </w:r>
      <w:r>
        <w:rPr>
          <w:rStyle w:val="FootnoteReference"/>
          <w:lang w:val="en-US"/>
        </w:rPr>
        <w:footnoteReference w:id="6"/>
      </w:r>
      <w:r w:rsidR="008E2E8B">
        <w:rPr>
          <w:lang w:val="en-US"/>
        </w:rPr>
        <w:t xml:space="preserve"> the international guide for documenting and investigating torture and other forms of abuse, which guides us in our everyday work, establishes the minimum rules for the documentation and investigation of torture</w:t>
      </w:r>
      <w:r w:rsidR="008137EF">
        <w:rPr>
          <w:lang w:val="en-US"/>
        </w:rPr>
        <w:t xml:space="preserve">. It does so while recognizing the psychological and physical ramifications of torture for survivors. The documentation of torture in accordance with the Istanbul Protocol is undertaken in accordance with a precise format and by a team of physicians, legal experts, and mental health </w:t>
      </w:r>
      <w:r w:rsidR="00DA4985">
        <w:rPr>
          <w:lang w:val="en-US"/>
        </w:rPr>
        <w:t>professionals. It</w:t>
      </w:r>
      <w:r w:rsidR="00CB6C4E">
        <w:rPr>
          <w:lang w:val="en-US"/>
        </w:rPr>
        <w:t xml:space="preserve"> is a trauma-informed process, i.e., one that is executed while taking the necessary precautions to protect torture survivors, who are liable to be in a post-traumatic state, and accordingly it is the recommended proceeding for collecting testimony from torture survivors. </w:t>
      </w:r>
    </w:p>
    <w:p w14:paraId="7C806D41" w14:textId="19F94DED" w:rsidR="00CB6C4E" w:rsidRDefault="00CB6C4E" w:rsidP="003A4556">
      <w:pPr>
        <w:rPr>
          <w:lang w:val="en-US"/>
        </w:rPr>
      </w:pPr>
      <w:r>
        <w:rPr>
          <w:lang w:val="en-US"/>
        </w:rPr>
        <w:t xml:space="preserve">The Istanbul Protocol </w:t>
      </w:r>
      <w:r w:rsidR="004561FE">
        <w:rPr>
          <w:lang w:val="en-US"/>
        </w:rPr>
        <w:t>enables the creation of medical-psychological evidence for the purpose of realizing the right to justice in criminal proceedings, on the one hand, and rehabilitation based on the ramifications of torture for each person, on the other. The protocol has won international recognition as the leadin</w:t>
      </w:r>
      <w:r w:rsidR="00073E69">
        <w:rPr>
          <w:lang w:val="en-US"/>
        </w:rPr>
        <w:t xml:space="preserve">g tool </w:t>
      </w:r>
      <w:r w:rsidR="00C27FDF">
        <w:rPr>
          <w:lang w:val="en-US"/>
        </w:rPr>
        <w:t xml:space="preserve">for this purpose, including by the UN, but it has not yet secured similar recognition in the Israeli legal system. In order to bridge this gap, PCATI </w:t>
      </w:r>
      <w:r w:rsidR="00D073F2">
        <w:rPr>
          <w:lang w:val="en-US"/>
        </w:rPr>
        <w:t xml:space="preserve">has trained dozens of professionals to </w:t>
      </w:r>
      <w:r w:rsidR="00D054C0">
        <w:rPr>
          <w:lang w:val="en-US"/>
        </w:rPr>
        <w:t xml:space="preserve">undertake evaluations in accordance with the Istanbul Protocol, and has included these evaluations in various legal proceedings. </w:t>
      </w:r>
    </w:p>
    <w:p w14:paraId="0C136A4C" w14:textId="66B988A6" w:rsidR="00D054C0" w:rsidRDefault="00D054C0" w:rsidP="003A4556">
      <w:pPr>
        <w:rPr>
          <w:b/>
          <w:bCs/>
          <w:lang w:val="en-US"/>
        </w:rPr>
      </w:pPr>
      <w:r>
        <w:rPr>
          <w:b/>
          <w:bCs/>
          <w:lang w:val="en-US"/>
        </w:rPr>
        <w:t xml:space="preserve">The Istanbul Protocol provides a central and important tool for identifying and documenting </w:t>
      </w:r>
      <w:r w:rsidR="004A3381">
        <w:rPr>
          <w:b/>
          <w:bCs/>
          <w:lang w:val="en-US"/>
        </w:rPr>
        <w:t xml:space="preserve">torture survivors. It can create critical forensic support in future legal proceedings in their case and also assist in their ongoing rehabilitation. </w:t>
      </w:r>
    </w:p>
    <w:p w14:paraId="32F0F66B" w14:textId="2A6271EF" w:rsidR="004A3381" w:rsidRDefault="004A3381" w:rsidP="004A3381">
      <w:pPr>
        <w:rPr>
          <w:u w:val="single"/>
          <w:lang w:val="en-US"/>
        </w:rPr>
      </w:pPr>
      <w:r>
        <w:rPr>
          <w:u w:val="single"/>
          <w:lang w:val="en-US"/>
        </w:rPr>
        <w:t>Conclusion</w:t>
      </w:r>
    </w:p>
    <w:p w14:paraId="27E9A806" w14:textId="77777777" w:rsidR="00A871A6" w:rsidRDefault="00BE57A6" w:rsidP="004A3381">
      <w:pPr>
        <w:rPr>
          <w:lang w:val="en-US"/>
        </w:rPr>
      </w:pPr>
      <w:r>
        <w:rPr>
          <w:lang w:val="en-US"/>
        </w:rPr>
        <w:t>PCATI stands with</w:t>
      </w:r>
      <w:r w:rsidR="00C81280">
        <w:rPr>
          <w:lang w:val="en-US"/>
        </w:rPr>
        <w:t xml:space="preserve"> </w:t>
      </w:r>
      <w:r w:rsidR="003B6A86">
        <w:rPr>
          <w:lang w:val="en-US"/>
        </w:rPr>
        <w:t>the survivors of the Hamas attack on October 7, with the captives in the Gaza Strip and their families, who were the victims of torture and war crimes. We</w:t>
      </w:r>
      <w:r w:rsidR="00B14795">
        <w:rPr>
          <w:lang w:val="en-US"/>
        </w:rPr>
        <w:t xml:space="preserve"> </w:t>
      </w:r>
      <w:r w:rsidR="00B14795">
        <w:rPr>
          <w:lang w:val="en-US"/>
        </w:rPr>
        <w:lastRenderedPageBreak/>
        <w:t>understand the long path that will be needed for the physical and psychological rehabilitation of all the survivors of the attack. We believe in the importance of documenting the atrocities they underwent</w:t>
      </w:r>
      <w:r w:rsidR="00D43359">
        <w:rPr>
          <w:lang w:val="en-US"/>
        </w:rPr>
        <w:t xml:space="preserve"> – for the struggle against denial of the crimes that occurred and in order to ensure justice for the victims. We long for the safe return of all </w:t>
      </w:r>
      <w:r w:rsidR="00A871A6">
        <w:rPr>
          <w:lang w:val="en-US"/>
        </w:rPr>
        <w:t xml:space="preserve">the captives and for an end to the cycle of violence that has already shaken the lives and violated the most basic human rights of so many innocent people. </w:t>
      </w:r>
    </w:p>
    <w:p w14:paraId="3B8B1949" w14:textId="77777777" w:rsidR="009D0FAD" w:rsidRDefault="00DE44CF" w:rsidP="004A3381">
      <w:pPr>
        <w:rPr>
          <w:lang w:val="en-US"/>
        </w:rPr>
      </w:pPr>
      <w:r>
        <w:rPr>
          <w:lang w:val="en-US"/>
        </w:rPr>
        <w:t>Over decades of working for torture survivors, PCATI and the Forensic Group of Experts that supports its work have acquired expertise and a reputation in the identification, documentation, and representation of torture survivors. We now offer to make this</w:t>
      </w:r>
      <w:r w:rsidR="009D0FAD">
        <w:rPr>
          <w:lang w:val="en-US"/>
        </w:rPr>
        <w:t xml:space="preserve"> knowledge available to the survivors of the attack, the captives and their families, and the professional bodies that accompany them. </w:t>
      </w:r>
    </w:p>
    <w:p w14:paraId="129D6726" w14:textId="77777777" w:rsidR="009D0FAD" w:rsidRDefault="009D0FAD" w:rsidP="004A3381">
      <w:pPr>
        <w:rPr>
          <w:lang w:val="en-US"/>
        </w:rPr>
      </w:pPr>
    </w:p>
    <w:p w14:paraId="5F75E524" w14:textId="77777777" w:rsidR="009D0FAD" w:rsidRDefault="009D0FAD" w:rsidP="004A3381">
      <w:pPr>
        <w:rPr>
          <w:lang w:val="en-US"/>
        </w:rPr>
      </w:pPr>
      <w:r>
        <w:rPr>
          <w:lang w:val="en-US"/>
        </w:rPr>
        <w:t xml:space="preserve">Signed </w:t>
      </w:r>
    </w:p>
    <w:p w14:paraId="762C9356" w14:textId="79A3DF93" w:rsidR="009D0FAD" w:rsidRDefault="009D0FAD" w:rsidP="004A3381">
      <w:pPr>
        <w:rPr>
          <w:b/>
          <w:bCs/>
          <w:lang w:val="en-US"/>
        </w:rPr>
      </w:pPr>
      <w:r w:rsidRPr="009D0FAD">
        <w:rPr>
          <w:b/>
          <w:bCs/>
          <w:lang w:val="en-US"/>
        </w:rPr>
        <w:t>Public Committee against Torture in Israel</w:t>
      </w:r>
      <w:r w:rsidR="00247EFC">
        <w:rPr>
          <w:b/>
          <w:bCs/>
          <w:lang w:val="en-US"/>
        </w:rPr>
        <w:t xml:space="preserve"> </w:t>
      </w:r>
    </w:p>
    <w:p w14:paraId="6AB177D2" w14:textId="77777777" w:rsidR="009D0FAD" w:rsidRDefault="009D0FAD" w:rsidP="004A3381">
      <w:pPr>
        <w:rPr>
          <w:b/>
          <w:bCs/>
          <w:lang w:val="en-US"/>
        </w:rPr>
      </w:pPr>
      <w:r>
        <w:rPr>
          <w:b/>
          <w:bCs/>
          <w:lang w:val="en-US"/>
        </w:rPr>
        <w:t xml:space="preserve">Forensic Group of Experts </w:t>
      </w:r>
    </w:p>
    <w:p w14:paraId="26F83E11" w14:textId="77777777" w:rsidR="009D0FAD" w:rsidRDefault="009D0FAD" w:rsidP="004A3381">
      <w:pPr>
        <w:rPr>
          <w:b/>
          <w:bCs/>
          <w:lang w:val="en-US"/>
        </w:rPr>
      </w:pPr>
    </w:p>
    <w:p w14:paraId="429800AB" w14:textId="77777777" w:rsidR="009D0FAD" w:rsidRDefault="009D0FAD" w:rsidP="009D0FAD">
      <w:pPr>
        <w:rPr>
          <w:lang w:val="en-US"/>
        </w:rPr>
      </w:pPr>
      <w:r>
        <w:rPr>
          <w:lang w:val="en-US"/>
        </w:rPr>
        <w:t xml:space="preserve">Tel Aviv, November 2023 </w:t>
      </w:r>
    </w:p>
    <w:p w14:paraId="78829B20" w14:textId="77777777" w:rsidR="009D0FAD" w:rsidRDefault="009D0FAD" w:rsidP="00A11909">
      <w:pPr>
        <w:rPr>
          <w:lang w:val="en-US"/>
        </w:rPr>
      </w:pPr>
    </w:p>
    <w:p w14:paraId="41A98C41" w14:textId="77777777" w:rsidR="009D0FAD" w:rsidRDefault="009D0FAD" w:rsidP="00A11909">
      <w:pPr>
        <w:rPr>
          <w:lang w:val="en-US"/>
        </w:rPr>
      </w:pPr>
    </w:p>
    <w:p w14:paraId="6D3E3DC3" w14:textId="45860639" w:rsidR="00792161" w:rsidRDefault="00792161" w:rsidP="00A11909">
      <w:pPr>
        <w:rPr>
          <w:lang w:val="en-US"/>
        </w:rPr>
      </w:pPr>
      <w:r>
        <w:rPr>
          <w:lang w:val="en-US"/>
        </w:rPr>
        <w:t xml:space="preserve">* The Public Committee against Torture in Israel (PCATI) </w:t>
      </w:r>
      <w:r w:rsidR="002C1C54">
        <w:rPr>
          <w:lang w:val="en-US"/>
        </w:rPr>
        <w:t>is a human rights organization established in 1990 to struggle against the scourge of torture in Israel and the Occupied Territories. While many of our clients are Palestinian</w:t>
      </w:r>
      <w:r w:rsidR="002C6232">
        <w:rPr>
          <w:lang w:val="en-US"/>
        </w:rPr>
        <w:t xml:space="preserve"> victims of the Israeli security forces, PCATI operates on the basis of a universalist worldview in the spirit of the International Convention against Torture</w:t>
      </w:r>
      <w:r w:rsidR="00EA41FE">
        <w:rPr>
          <w:lang w:val="en-US"/>
        </w:rPr>
        <w:t xml:space="preserve">, which establishes that torture, abuse, and inhuman and degrading treatment are </w:t>
      </w:r>
      <w:r w:rsidR="00672651">
        <w:rPr>
          <w:lang w:val="en-US"/>
        </w:rPr>
        <w:t xml:space="preserve">improper and are absolutely prohibited, regardless of the religious, political, and national affiliation of the victims or the perpetrators. Accordingly, we have </w:t>
      </w:r>
      <w:r w:rsidR="00EE60DA">
        <w:rPr>
          <w:lang w:val="en-US"/>
        </w:rPr>
        <w:t xml:space="preserve">helped and continue to help victims of torture and serious institutionalized violence on both sides of the Green Law and from all </w:t>
      </w:r>
      <w:r w:rsidR="003E59D0">
        <w:rPr>
          <w:lang w:val="en-US"/>
        </w:rPr>
        <w:t>parts of Israeli society. PCATI’s Legal Department provides legal representation for torture victims and</w:t>
      </w:r>
      <w:r w:rsidR="0032681E">
        <w:rPr>
          <w:lang w:val="en-US"/>
        </w:rPr>
        <w:t xml:space="preserve"> acts on related principled issues, while the </w:t>
      </w:r>
      <w:r w:rsidR="00CB0172">
        <w:rPr>
          <w:lang w:val="en-US"/>
        </w:rPr>
        <w:t>Public Department works to raise awareness concerning the presence of torture in Israel and to promote legislation outlawing torture.</w:t>
      </w:r>
    </w:p>
    <w:p w14:paraId="5ABC38CA" w14:textId="5B5271E2" w:rsidR="00CB0172" w:rsidRPr="00722EB3" w:rsidRDefault="00CB0172" w:rsidP="006822D8">
      <w:pPr>
        <w:rPr>
          <w:lang w:val="en-US"/>
        </w:rPr>
      </w:pPr>
      <w:r>
        <w:rPr>
          <w:lang w:val="en-US"/>
        </w:rPr>
        <w:t xml:space="preserve">PCATI is supervised in its work by the Forensic Group of Experts – some 30 </w:t>
      </w:r>
      <w:r w:rsidR="003A6D49">
        <w:rPr>
          <w:lang w:val="en-US"/>
        </w:rPr>
        <w:t>medical and mental health professionals who are prominent in their fields and who work on an entirely voluntary basis</w:t>
      </w:r>
      <w:r w:rsidR="00CF5F4F">
        <w:rPr>
          <w:lang w:val="en-US"/>
        </w:rPr>
        <w:t xml:space="preserve">. The members of the Group have undergone in-depth training enabling them to undertake evaluations in accordance with the Istanbul Protocol, to train other </w:t>
      </w:r>
      <w:r w:rsidR="00CF5F4F">
        <w:rPr>
          <w:lang w:val="en-US"/>
        </w:rPr>
        <w:lastRenderedPageBreak/>
        <w:t xml:space="preserve">professionals to undertake such evaluations, and to undertake </w:t>
      </w:r>
      <w:r w:rsidR="00BE5857">
        <w:rPr>
          <w:lang w:val="en-US"/>
        </w:rPr>
        <w:t xml:space="preserve">research concerning the documentation and treatment of torture survivors. </w:t>
      </w:r>
    </w:p>
    <w:sectPr w:rsidR="00CB0172" w:rsidRPr="00722EB3" w:rsidSect="00045048">
      <w:headerReference w:type="first" r:id="rId6"/>
      <w:pgSz w:w="11906" w:h="16838" w:code="9"/>
      <w:pgMar w:top="1418" w:right="1418" w:bottom="1418" w:left="1418"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581E" w14:textId="77777777" w:rsidR="0036113D" w:rsidRDefault="0036113D" w:rsidP="007D61DC">
      <w:pPr>
        <w:spacing w:after="0" w:line="240" w:lineRule="auto"/>
      </w:pPr>
      <w:r>
        <w:separator/>
      </w:r>
    </w:p>
  </w:endnote>
  <w:endnote w:type="continuationSeparator" w:id="0">
    <w:p w14:paraId="4289B2D6" w14:textId="77777777" w:rsidR="0036113D" w:rsidRDefault="0036113D" w:rsidP="007D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97F3" w14:textId="77777777" w:rsidR="0036113D" w:rsidRDefault="0036113D" w:rsidP="007D61DC">
      <w:pPr>
        <w:spacing w:after="0" w:line="240" w:lineRule="auto"/>
      </w:pPr>
      <w:r>
        <w:separator/>
      </w:r>
    </w:p>
  </w:footnote>
  <w:footnote w:type="continuationSeparator" w:id="0">
    <w:p w14:paraId="2FD8FD84" w14:textId="77777777" w:rsidR="0036113D" w:rsidRDefault="0036113D" w:rsidP="007D61DC">
      <w:pPr>
        <w:spacing w:after="0" w:line="240" w:lineRule="auto"/>
      </w:pPr>
      <w:r>
        <w:continuationSeparator/>
      </w:r>
    </w:p>
  </w:footnote>
  <w:footnote w:id="1">
    <w:p w14:paraId="60111379" w14:textId="69D51A49" w:rsidR="00E529E8" w:rsidRPr="00085D74" w:rsidRDefault="00E529E8">
      <w:pPr>
        <w:pStyle w:val="FootnoteText"/>
        <w:rPr>
          <w:color w:val="auto"/>
        </w:rPr>
      </w:pPr>
      <w:r w:rsidRPr="00085D74">
        <w:rPr>
          <w:rStyle w:val="FootnoteReference"/>
          <w:color w:val="auto"/>
        </w:rPr>
        <w:footnoteRef/>
      </w:r>
      <w:r w:rsidRPr="00085D74">
        <w:rPr>
          <w:color w:val="auto"/>
        </w:rPr>
        <w:t xml:space="preserve"> </w:t>
      </w:r>
      <w:r w:rsidR="0067249C" w:rsidRPr="00085D74">
        <w:rPr>
          <w:color w:val="auto"/>
        </w:rPr>
        <w:t xml:space="preserve">Article 1 of the International Convention against the Taking of Hostages, 1979 </w:t>
      </w:r>
    </w:p>
  </w:footnote>
  <w:footnote w:id="2">
    <w:p w14:paraId="4996C7FA" w14:textId="4CDA32A1" w:rsidR="00445940" w:rsidRPr="00085D74" w:rsidRDefault="00445940">
      <w:pPr>
        <w:pStyle w:val="FootnoteText"/>
        <w:rPr>
          <w:color w:val="auto"/>
        </w:rPr>
      </w:pPr>
      <w:r w:rsidRPr="00085D74">
        <w:rPr>
          <w:rStyle w:val="FootnoteReference"/>
          <w:color w:val="auto"/>
        </w:rPr>
        <w:footnoteRef/>
      </w:r>
      <w:r w:rsidRPr="00085D74">
        <w:rPr>
          <w:color w:val="auto"/>
        </w:rPr>
        <w:t xml:space="preserve"> </w:t>
      </w:r>
      <w:r w:rsidR="008820CE" w:rsidRPr="00085D74">
        <w:rPr>
          <w:color w:val="auto"/>
        </w:rPr>
        <w:t>Article 3</w:t>
      </w:r>
      <w:r w:rsidR="002D116F" w:rsidRPr="00085D74">
        <w:rPr>
          <w:color w:val="auto"/>
        </w:rPr>
        <w:t>, common to the Geneva Conventions of 1949; Articles 34 and 147 of the Fourth Geneva Convention</w:t>
      </w:r>
      <w:r w:rsidR="00281FEB" w:rsidRPr="00085D74">
        <w:rPr>
          <w:color w:val="auto"/>
        </w:rPr>
        <w:t>,</w:t>
      </w:r>
      <w:r w:rsidR="0045301F" w:rsidRPr="00085D74">
        <w:rPr>
          <w:color w:val="auto"/>
        </w:rPr>
        <w:t xml:space="preserve"> 1949; Article </w:t>
      </w:r>
      <w:r w:rsidR="003B4254" w:rsidRPr="00085D74">
        <w:rPr>
          <w:color w:val="auto"/>
        </w:rPr>
        <w:t xml:space="preserve">4(2)(c) of Additional Protocol II, </w:t>
      </w:r>
      <w:r w:rsidR="00281FEB" w:rsidRPr="00085D74">
        <w:rPr>
          <w:color w:val="auto"/>
        </w:rPr>
        <w:t>1977</w:t>
      </w:r>
    </w:p>
  </w:footnote>
  <w:footnote w:id="3">
    <w:p w14:paraId="510D7378" w14:textId="396D57F7" w:rsidR="00281FEB" w:rsidRPr="00085D74" w:rsidRDefault="00281FEB">
      <w:pPr>
        <w:pStyle w:val="FootnoteText"/>
        <w:rPr>
          <w:color w:val="auto"/>
        </w:rPr>
      </w:pPr>
      <w:r w:rsidRPr="00085D74">
        <w:rPr>
          <w:rStyle w:val="FootnoteReference"/>
          <w:color w:val="auto"/>
        </w:rPr>
        <w:footnoteRef/>
      </w:r>
      <w:r w:rsidRPr="00085D74">
        <w:rPr>
          <w:color w:val="auto"/>
        </w:rPr>
        <w:t xml:space="preserve"> Rules 87–105 of the </w:t>
      </w:r>
      <w:r w:rsidR="007A2939" w:rsidRPr="00085D74">
        <w:rPr>
          <w:color w:val="auto"/>
        </w:rPr>
        <w:t>Customary Rules of International Humanitarian Law</w:t>
      </w:r>
      <w:r w:rsidR="002242A4" w:rsidRPr="00085D74">
        <w:rPr>
          <w:color w:val="auto"/>
        </w:rPr>
        <w:t>, International Committee of the Red Cross</w:t>
      </w:r>
    </w:p>
  </w:footnote>
  <w:footnote w:id="4">
    <w:p w14:paraId="0C8E3F84" w14:textId="64A7A906" w:rsidR="00FC5BB2" w:rsidRPr="00085D74" w:rsidRDefault="00FC5BB2">
      <w:pPr>
        <w:pStyle w:val="FootnoteText"/>
        <w:rPr>
          <w:color w:val="auto"/>
        </w:rPr>
      </w:pPr>
      <w:r w:rsidRPr="00085D74">
        <w:rPr>
          <w:rStyle w:val="FootnoteReference"/>
          <w:color w:val="auto"/>
        </w:rPr>
        <w:footnoteRef/>
      </w:r>
      <w:r w:rsidRPr="00085D74">
        <w:rPr>
          <w:color w:val="auto"/>
        </w:rPr>
        <w:t xml:space="preserve"> Articles </w:t>
      </w:r>
      <w:r w:rsidR="00141C19" w:rsidRPr="00085D74">
        <w:rPr>
          <w:color w:val="auto"/>
        </w:rPr>
        <w:t>1, 2, 3, 4, 7, 8, 8(a) of the Treaty of Rome of the International Criminal Court, 1998</w:t>
      </w:r>
    </w:p>
  </w:footnote>
  <w:footnote w:id="5">
    <w:p w14:paraId="59167BC9" w14:textId="74BAA141" w:rsidR="003615BE" w:rsidRPr="00085D74" w:rsidRDefault="003615BE">
      <w:pPr>
        <w:pStyle w:val="FootnoteText"/>
        <w:rPr>
          <w:color w:val="auto"/>
        </w:rPr>
      </w:pPr>
      <w:r w:rsidRPr="00085D74">
        <w:rPr>
          <w:rStyle w:val="FootnoteReference"/>
          <w:color w:val="auto"/>
        </w:rPr>
        <w:footnoteRef/>
      </w:r>
      <w:r w:rsidRPr="00085D74">
        <w:rPr>
          <w:color w:val="auto"/>
        </w:rPr>
        <w:t xml:space="preserve"> </w:t>
      </w:r>
      <w:r w:rsidR="00B64FEE" w:rsidRPr="00085D74">
        <w:rPr>
          <w:color w:val="auto"/>
        </w:rPr>
        <w:t>Convention Against Torture and Other Cruel, Inhuman or Degrading Treatment or Punishment</w:t>
      </w:r>
      <w:r w:rsidR="00743E94" w:rsidRPr="00085D74">
        <w:rPr>
          <w:color w:val="auto"/>
        </w:rPr>
        <w:t>, 1984; Articles 372 n, p, r, v, w of the Istanbul Protocol, 2022 Edition</w:t>
      </w:r>
    </w:p>
  </w:footnote>
  <w:footnote w:id="6">
    <w:p w14:paraId="6E9D77F2" w14:textId="16DD90A7" w:rsidR="00EC6B90" w:rsidRPr="00085D74" w:rsidRDefault="00EC6B90">
      <w:pPr>
        <w:pStyle w:val="FootnoteText"/>
        <w:rPr>
          <w:color w:val="auto"/>
        </w:rPr>
      </w:pPr>
      <w:r w:rsidRPr="00085D74">
        <w:rPr>
          <w:rStyle w:val="FootnoteReference"/>
          <w:color w:val="auto"/>
        </w:rPr>
        <w:footnoteRef/>
      </w:r>
      <w:r w:rsidRPr="00085D74">
        <w:rPr>
          <w:color w:val="auto"/>
        </w:rPr>
        <w:t xml:space="preserve"> </w:t>
      </w:r>
      <w:hyperlink r:id="rId1" w:history="1">
        <w:r w:rsidR="008E2E8B" w:rsidRPr="00085D74">
          <w:rPr>
            <w:rStyle w:val="Hyperlink"/>
            <w:color w:val="auto"/>
            <w:u w:val="none"/>
          </w:rPr>
          <w:t>https://www.ohchr.org/en/publications/policy-and-methodological-publications/istanbul-protocol-manual-effective-0</w:t>
        </w:r>
      </w:hyperlink>
      <w:r w:rsidR="008E2E8B" w:rsidRPr="00085D74">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F6EA" w14:textId="4E14A434" w:rsidR="007D61DC" w:rsidRDefault="007D61DC" w:rsidP="007D61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C1"/>
    <w:rsid w:val="000026BF"/>
    <w:rsid w:val="00013113"/>
    <w:rsid w:val="00013164"/>
    <w:rsid w:val="00014A8C"/>
    <w:rsid w:val="000172D1"/>
    <w:rsid w:val="00017F19"/>
    <w:rsid w:val="00021570"/>
    <w:rsid w:val="000230FE"/>
    <w:rsid w:val="0002517A"/>
    <w:rsid w:val="00027D61"/>
    <w:rsid w:val="00032B49"/>
    <w:rsid w:val="00033B89"/>
    <w:rsid w:val="00034169"/>
    <w:rsid w:val="00036BFE"/>
    <w:rsid w:val="0004307A"/>
    <w:rsid w:val="00045048"/>
    <w:rsid w:val="00045D64"/>
    <w:rsid w:val="0004736C"/>
    <w:rsid w:val="000518B9"/>
    <w:rsid w:val="00051F27"/>
    <w:rsid w:val="000525BE"/>
    <w:rsid w:val="0005524E"/>
    <w:rsid w:val="00061E5E"/>
    <w:rsid w:val="00065F76"/>
    <w:rsid w:val="00071646"/>
    <w:rsid w:val="00071BD8"/>
    <w:rsid w:val="00072A5B"/>
    <w:rsid w:val="00073E69"/>
    <w:rsid w:val="0007489D"/>
    <w:rsid w:val="00080B31"/>
    <w:rsid w:val="00085D74"/>
    <w:rsid w:val="0008638D"/>
    <w:rsid w:val="0009194C"/>
    <w:rsid w:val="00092E4C"/>
    <w:rsid w:val="00094B1F"/>
    <w:rsid w:val="00096BE6"/>
    <w:rsid w:val="000A2ABE"/>
    <w:rsid w:val="000A3A69"/>
    <w:rsid w:val="000B1656"/>
    <w:rsid w:val="000B1C85"/>
    <w:rsid w:val="000B23E5"/>
    <w:rsid w:val="000B3269"/>
    <w:rsid w:val="000B5E90"/>
    <w:rsid w:val="000B77E5"/>
    <w:rsid w:val="000C0BE7"/>
    <w:rsid w:val="000C4412"/>
    <w:rsid w:val="000C4F5B"/>
    <w:rsid w:val="000C559D"/>
    <w:rsid w:val="000C7719"/>
    <w:rsid w:val="000D2CC1"/>
    <w:rsid w:val="000D3152"/>
    <w:rsid w:val="000D6902"/>
    <w:rsid w:val="000D6DB1"/>
    <w:rsid w:val="000E0DEF"/>
    <w:rsid w:val="000E38CC"/>
    <w:rsid w:val="000E5510"/>
    <w:rsid w:val="000E7014"/>
    <w:rsid w:val="000F2666"/>
    <w:rsid w:val="000F2942"/>
    <w:rsid w:val="000F537B"/>
    <w:rsid w:val="000F575E"/>
    <w:rsid w:val="000F6138"/>
    <w:rsid w:val="000F6B20"/>
    <w:rsid w:val="00100E06"/>
    <w:rsid w:val="00102112"/>
    <w:rsid w:val="001027A2"/>
    <w:rsid w:val="00105E2D"/>
    <w:rsid w:val="00110AD4"/>
    <w:rsid w:val="00112E19"/>
    <w:rsid w:val="00114716"/>
    <w:rsid w:val="0011779B"/>
    <w:rsid w:val="00120589"/>
    <w:rsid w:val="00120D27"/>
    <w:rsid w:val="00121566"/>
    <w:rsid w:val="0012233C"/>
    <w:rsid w:val="00123D5C"/>
    <w:rsid w:val="001304E9"/>
    <w:rsid w:val="00135789"/>
    <w:rsid w:val="00140D5E"/>
    <w:rsid w:val="00141C19"/>
    <w:rsid w:val="0014231C"/>
    <w:rsid w:val="0014548B"/>
    <w:rsid w:val="00145595"/>
    <w:rsid w:val="001466EA"/>
    <w:rsid w:val="00147710"/>
    <w:rsid w:val="00154121"/>
    <w:rsid w:val="00155279"/>
    <w:rsid w:val="0015753B"/>
    <w:rsid w:val="00160316"/>
    <w:rsid w:val="0017170C"/>
    <w:rsid w:val="00175C9B"/>
    <w:rsid w:val="00182DC1"/>
    <w:rsid w:val="00183616"/>
    <w:rsid w:val="00184D49"/>
    <w:rsid w:val="00185F81"/>
    <w:rsid w:val="00186206"/>
    <w:rsid w:val="001877FE"/>
    <w:rsid w:val="00191C72"/>
    <w:rsid w:val="00193349"/>
    <w:rsid w:val="0019361A"/>
    <w:rsid w:val="00193BDF"/>
    <w:rsid w:val="00194725"/>
    <w:rsid w:val="001A1BF7"/>
    <w:rsid w:val="001A1C46"/>
    <w:rsid w:val="001A281E"/>
    <w:rsid w:val="001A2A24"/>
    <w:rsid w:val="001A368C"/>
    <w:rsid w:val="001A4BC6"/>
    <w:rsid w:val="001A4FBA"/>
    <w:rsid w:val="001A609C"/>
    <w:rsid w:val="001B0C9E"/>
    <w:rsid w:val="001B2444"/>
    <w:rsid w:val="001B5376"/>
    <w:rsid w:val="001C1999"/>
    <w:rsid w:val="001C43CB"/>
    <w:rsid w:val="001C5576"/>
    <w:rsid w:val="001C79C2"/>
    <w:rsid w:val="001C7EDD"/>
    <w:rsid w:val="001D21B4"/>
    <w:rsid w:val="001D306E"/>
    <w:rsid w:val="001D6CDC"/>
    <w:rsid w:val="001D705B"/>
    <w:rsid w:val="001E02F1"/>
    <w:rsid w:val="001E4DF4"/>
    <w:rsid w:val="001E63A5"/>
    <w:rsid w:val="001E790C"/>
    <w:rsid w:val="001F0580"/>
    <w:rsid w:val="001F432C"/>
    <w:rsid w:val="001F477C"/>
    <w:rsid w:val="00200F80"/>
    <w:rsid w:val="0020137F"/>
    <w:rsid w:val="002018A1"/>
    <w:rsid w:val="00204D16"/>
    <w:rsid w:val="0021180D"/>
    <w:rsid w:val="00211CE3"/>
    <w:rsid w:val="002123BF"/>
    <w:rsid w:val="00213AA2"/>
    <w:rsid w:val="002162C2"/>
    <w:rsid w:val="00217E01"/>
    <w:rsid w:val="0022193E"/>
    <w:rsid w:val="0022211D"/>
    <w:rsid w:val="00222476"/>
    <w:rsid w:val="002242A4"/>
    <w:rsid w:val="002249F6"/>
    <w:rsid w:val="00225E1C"/>
    <w:rsid w:val="0023133F"/>
    <w:rsid w:val="0023428C"/>
    <w:rsid w:val="00235CC2"/>
    <w:rsid w:val="00236A2B"/>
    <w:rsid w:val="00245375"/>
    <w:rsid w:val="00247EFC"/>
    <w:rsid w:val="0025346B"/>
    <w:rsid w:val="002535EA"/>
    <w:rsid w:val="00254F58"/>
    <w:rsid w:val="0025515F"/>
    <w:rsid w:val="00255F1D"/>
    <w:rsid w:val="0025746C"/>
    <w:rsid w:val="00266E46"/>
    <w:rsid w:val="002672D6"/>
    <w:rsid w:val="00267CE4"/>
    <w:rsid w:val="0027190C"/>
    <w:rsid w:val="00272EC2"/>
    <w:rsid w:val="00277551"/>
    <w:rsid w:val="00281FEB"/>
    <w:rsid w:val="002835CE"/>
    <w:rsid w:val="00284AEC"/>
    <w:rsid w:val="00285456"/>
    <w:rsid w:val="00287179"/>
    <w:rsid w:val="002914F5"/>
    <w:rsid w:val="002A05FB"/>
    <w:rsid w:val="002A3175"/>
    <w:rsid w:val="002A5032"/>
    <w:rsid w:val="002B44B9"/>
    <w:rsid w:val="002B6C44"/>
    <w:rsid w:val="002B7D2A"/>
    <w:rsid w:val="002C053C"/>
    <w:rsid w:val="002C0809"/>
    <w:rsid w:val="002C1C54"/>
    <w:rsid w:val="002C1D2C"/>
    <w:rsid w:val="002C2ECF"/>
    <w:rsid w:val="002C4D8D"/>
    <w:rsid w:val="002C6232"/>
    <w:rsid w:val="002C7135"/>
    <w:rsid w:val="002D116F"/>
    <w:rsid w:val="002D1A1F"/>
    <w:rsid w:val="002D3924"/>
    <w:rsid w:val="002D502D"/>
    <w:rsid w:val="002E1FC9"/>
    <w:rsid w:val="002E4E1A"/>
    <w:rsid w:val="002E63B8"/>
    <w:rsid w:val="002E79FA"/>
    <w:rsid w:val="002F0698"/>
    <w:rsid w:val="002F16DC"/>
    <w:rsid w:val="002F20DC"/>
    <w:rsid w:val="0030134C"/>
    <w:rsid w:val="003057F2"/>
    <w:rsid w:val="00305D25"/>
    <w:rsid w:val="00312D54"/>
    <w:rsid w:val="00314EF6"/>
    <w:rsid w:val="003158D7"/>
    <w:rsid w:val="003162B5"/>
    <w:rsid w:val="003163C6"/>
    <w:rsid w:val="003167BE"/>
    <w:rsid w:val="00324CDC"/>
    <w:rsid w:val="00326482"/>
    <w:rsid w:val="0032681E"/>
    <w:rsid w:val="00330A8D"/>
    <w:rsid w:val="003316EF"/>
    <w:rsid w:val="00331890"/>
    <w:rsid w:val="00335301"/>
    <w:rsid w:val="0033586F"/>
    <w:rsid w:val="003376C1"/>
    <w:rsid w:val="00345A23"/>
    <w:rsid w:val="00350F42"/>
    <w:rsid w:val="003556CB"/>
    <w:rsid w:val="003576B0"/>
    <w:rsid w:val="003608C9"/>
    <w:rsid w:val="0036113D"/>
    <w:rsid w:val="003615BE"/>
    <w:rsid w:val="00362642"/>
    <w:rsid w:val="00366EC5"/>
    <w:rsid w:val="00371713"/>
    <w:rsid w:val="00372FD2"/>
    <w:rsid w:val="003774FE"/>
    <w:rsid w:val="0038124D"/>
    <w:rsid w:val="00390CE5"/>
    <w:rsid w:val="003923F5"/>
    <w:rsid w:val="00392F9D"/>
    <w:rsid w:val="0039682E"/>
    <w:rsid w:val="00397289"/>
    <w:rsid w:val="00397750"/>
    <w:rsid w:val="003A242A"/>
    <w:rsid w:val="003A4556"/>
    <w:rsid w:val="003A6D49"/>
    <w:rsid w:val="003A77B0"/>
    <w:rsid w:val="003B0BA4"/>
    <w:rsid w:val="003B4253"/>
    <w:rsid w:val="003B4254"/>
    <w:rsid w:val="003B6A86"/>
    <w:rsid w:val="003C060B"/>
    <w:rsid w:val="003C3979"/>
    <w:rsid w:val="003C3B6E"/>
    <w:rsid w:val="003D0165"/>
    <w:rsid w:val="003D1C24"/>
    <w:rsid w:val="003D3748"/>
    <w:rsid w:val="003D4DC3"/>
    <w:rsid w:val="003E313A"/>
    <w:rsid w:val="003E59D0"/>
    <w:rsid w:val="003E72BE"/>
    <w:rsid w:val="003F1E73"/>
    <w:rsid w:val="004015D0"/>
    <w:rsid w:val="0040163F"/>
    <w:rsid w:val="00403537"/>
    <w:rsid w:val="00405D2A"/>
    <w:rsid w:val="00407CEC"/>
    <w:rsid w:val="004138D4"/>
    <w:rsid w:val="00415298"/>
    <w:rsid w:val="00416FF4"/>
    <w:rsid w:val="00420589"/>
    <w:rsid w:val="00425B85"/>
    <w:rsid w:val="00427D5D"/>
    <w:rsid w:val="00432949"/>
    <w:rsid w:val="004374C9"/>
    <w:rsid w:val="004452C8"/>
    <w:rsid w:val="00445385"/>
    <w:rsid w:val="00445940"/>
    <w:rsid w:val="0045301F"/>
    <w:rsid w:val="004536BD"/>
    <w:rsid w:val="00454580"/>
    <w:rsid w:val="004561FE"/>
    <w:rsid w:val="004572B7"/>
    <w:rsid w:val="0046186D"/>
    <w:rsid w:val="00464120"/>
    <w:rsid w:val="004648E1"/>
    <w:rsid w:val="004663B6"/>
    <w:rsid w:val="004749E0"/>
    <w:rsid w:val="00475EC7"/>
    <w:rsid w:val="004805C6"/>
    <w:rsid w:val="004830A0"/>
    <w:rsid w:val="00483677"/>
    <w:rsid w:val="00484F25"/>
    <w:rsid w:val="00486763"/>
    <w:rsid w:val="00491343"/>
    <w:rsid w:val="0049377A"/>
    <w:rsid w:val="004952E5"/>
    <w:rsid w:val="004A08F9"/>
    <w:rsid w:val="004A261C"/>
    <w:rsid w:val="004A3381"/>
    <w:rsid w:val="004A6218"/>
    <w:rsid w:val="004B0877"/>
    <w:rsid w:val="004B3E74"/>
    <w:rsid w:val="004B4A55"/>
    <w:rsid w:val="004B700D"/>
    <w:rsid w:val="004C0169"/>
    <w:rsid w:val="004C0424"/>
    <w:rsid w:val="004C334D"/>
    <w:rsid w:val="004C4ABC"/>
    <w:rsid w:val="004C585D"/>
    <w:rsid w:val="004C5DEE"/>
    <w:rsid w:val="004C5E41"/>
    <w:rsid w:val="004C78AA"/>
    <w:rsid w:val="004D30EE"/>
    <w:rsid w:val="004D44F2"/>
    <w:rsid w:val="004D76D8"/>
    <w:rsid w:val="004E4558"/>
    <w:rsid w:val="004E542A"/>
    <w:rsid w:val="004F257A"/>
    <w:rsid w:val="004F4FB0"/>
    <w:rsid w:val="004F518D"/>
    <w:rsid w:val="004F7FB5"/>
    <w:rsid w:val="0050011C"/>
    <w:rsid w:val="005026B6"/>
    <w:rsid w:val="00507D11"/>
    <w:rsid w:val="00517F59"/>
    <w:rsid w:val="00521905"/>
    <w:rsid w:val="00527EBC"/>
    <w:rsid w:val="005440E1"/>
    <w:rsid w:val="005453D0"/>
    <w:rsid w:val="0055476C"/>
    <w:rsid w:val="00554867"/>
    <w:rsid w:val="00554FE4"/>
    <w:rsid w:val="00560773"/>
    <w:rsid w:val="0056292B"/>
    <w:rsid w:val="00563CD2"/>
    <w:rsid w:val="00564774"/>
    <w:rsid w:val="00566449"/>
    <w:rsid w:val="00566AA9"/>
    <w:rsid w:val="00573F61"/>
    <w:rsid w:val="005771CD"/>
    <w:rsid w:val="00577A56"/>
    <w:rsid w:val="005818DD"/>
    <w:rsid w:val="0058378E"/>
    <w:rsid w:val="00591BE5"/>
    <w:rsid w:val="00592DB6"/>
    <w:rsid w:val="00595113"/>
    <w:rsid w:val="005967D3"/>
    <w:rsid w:val="005A2EBB"/>
    <w:rsid w:val="005A4F69"/>
    <w:rsid w:val="005A5E10"/>
    <w:rsid w:val="005A6EDB"/>
    <w:rsid w:val="005A74AD"/>
    <w:rsid w:val="005B1879"/>
    <w:rsid w:val="005B3D6F"/>
    <w:rsid w:val="005B47D2"/>
    <w:rsid w:val="005C2820"/>
    <w:rsid w:val="005C7900"/>
    <w:rsid w:val="005D47F4"/>
    <w:rsid w:val="005D49A6"/>
    <w:rsid w:val="005D51EA"/>
    <w:rsid w:val="005D6B9E"/>
    <w:rsid w:val="005D7B9F"/>
    <w:rsid w:val="005E16AE"/>
    <w:rsid w:val="005E2241"/>
    <w:rsid w:val="005E4544"/>
    <w:rsid w:val="005F0098"/>
    <w:rsid w:val="005F60AE"/>
    <w:rsid w:val="006000AD"/>
    <w:rsid w:val="0060290A"/>
    <w:rsid w:val="00602A76"/>
    <w:rsid w:val="0060416A"/>
    <w:rsid w:val="00604825"/>
    <w:rsid w:val="0061056C"/>
    <w:rsid w:val="00617FC8"/>
    <w:rsid w:val="006206B8"/>
    <w:rsid w:val="006219B9"/>
    <w:rsid w:val="00624827"/>
    <w:rsid w:val="0062733D"/>
    <w:rsid w:val="00627A55"/>
    <w:rsid w:val="006300E4"/>
    <w:rsid w:val="006324CA"/>
    <w:rsid w:val="00635FB0"/>
    <w:rsid w:val="00641F24"/>
    <w:rsid w:val="006420D9"/>
    <w:rsid w:val="00651DCB"/>
    <w:rsid w:val="00652636"/>
    <w:rsid w:val="0065523B"/>
    <w:rsid w:val="0065617F"/>
    <w:rsid w:val="0066016D"/>
    <w:rsid w:val="00663EAE"/>
    <w:rsid w:val="006701CB"/>
    <w:rsid w:val="00671093"/>
    <w:rsid w:val="006711DE"/>
    <w:rsid w:val="006722A0"/>
    <w:rsid w:val="0067249C"/>
    <w:rsid w:val="00672651"/>
    <w:rsid w:val="0068139E"/>
    <w:rsid w:val="006822D8"/>
    <w:rsid w:val="00683316"/>
    <w:rsid w:val="0068347E"/>
    <w:rsid w:val="00685755"/>
    <w:rsid w:val="00685953"/>
    <w:rsid w:val="0069346B"/>
    <w:rsid w:val="00695621"/>
    <w:rsid w:val="006A013E"/>
    <w:rsid w:val="006A1E33"/>
    <w:rsid w:val="006A32B5"/>
    <w:rsid w:val="006A4741"/>
    <w:rsid w:val="006A5DAF"/>
    <w:rsid w:val="006B63C5"/>
    <w:rsid w:val="006C2498"/>
    <w:rsid w:val="006C3F59"/>
    <w:rsid w:val="006C6C46"/>
    <w:rsid w:val="006C7317"/>
    <w:rsid w:val="006D17CE"/>
    <w:rsid w:val="006D3794"/>
    <w:rsid w:val="006D4113"/>
    <w:rsid w:val="006E0D52"/>
    <w:rsid w:val="006E1227"/>
    <w:rsid w:val="006E2940"/>
    <w:rsid w:val="006E3428"/>
    <w:rsid w:val="006E3EFB"/>
    <w:rsid w:val="006E56F9"/>
    <w:rsid w:val="006E75AD"/>
    <w:rsid w:val="006F1F07"/>
    <w:rsid w:val="006F21BF"/>
    <w:rsid w:val="006F41B7"/>
    <w:rsid w:val="00704611"/>
    <w:rsid w:val="00710AFB"/>
    <w:rsid w:val="0071130C"/>
    <w:rsid w:val="0071135A"/>
    <w:rsid w:val="0071202B"/>
    <w:rsid w:val="00713599"/>
    <w:rsid w:val="00717C8B"/>
    <w:rsid w:val="00720E5D"/>
    <w:rsid w:val="007217D5"/>
    <w:rsid w:val="0072230A"/>
    <w:rsid w:val="00722EB3"/>
    <w:rsid w:val="00726EF7"/>
    <w:rsid w:val="00731123"/>
    <w:rsid w:val="00731198"/>
    <w:rsid w:val="00731CF0"/>
    <w:rsid w:val="0073283A"/>
    <w:rsid w:val="00734136"/>
    <w:rsid w:val="00737303"/>
    <w:rsid w:val="00741650"/>
    <w:rsid w:val="00741A06"/>
    <w:rsid w:val="00743E94"/>
    <w:rsid w:val="00745FA4"/>
    <w:rsid w:val="00746CCA"/>
    <w:rsid w:val="00747106"/>
    <w:rsid w:val="00750653"/>
    <w:rsid w:val="00751AB4"/>
    <w:rsid w:val="00752A15"/>
    <w:rsid w:val="00752B2B"/>
    <w:rsid w:val="0075371C"/>
    <w:rsid w:val="00755CE5"/>
    <w:rsid w:val="00755EBA"/>
    <w:rsid w:val="00756276"/>
    <w:rsid w:val="00757CB0"/>
    <w:rsid w:val="007711F8"/>
    <w:rsid w:val="00772BFB"/>
    <w:rsid w:val="00775161"/>
    <w:rsid w:val="00775A7F"/>
    <w:rsid w:val="00775DCD"/>
    <w:rsid w:val="00775FA6"/>
    <w:rsid w:val="0077682C"/>
    <w:rsid w:val="00776CCD"/>
    <w:rsid w:val="007773C2"/>
    <w:rsid w:val="00781E28"/>
    <w:rsid w:val="00782FB9"/>
    <w:rsid w:val="00786343"/>
    <w:rsid w:val="00786733"/>
    <w:rsid w:val="00792161"/>
    <w:rsid w:val="00794299"/>
    <w:rsid w:val="0079581E"/>
    <w:rsid w:val="007959D1"/>
    <w:rsid w:val="007974DD"/>
    <w:rsid w:val="007974E6"/>
    <w:rsid w:val="00797CAA"/>
    <w:rsid w:val="007A14A7"/>
    <w:rsid w:val="007A20F8"/>
    <w:rsid w:val="007A2939"/>
    <w:rsid w:val="007A2CF8"/>
    <w:rsid w:val="007A2D88"/>
    <w:rsid w:val="007A40B7"/>
    <w:rsid w:val="007A4687"/>
    <w:rsid w:val="007A5491"/>
    <w:rsid w:val="007B454D"/>
    <w:rsid w:val="007B4A05"/>
    <w:rsid w:val="007B5539"/>
    <w:rsid w:val="007B7835"/>
    <w:rsid w:val="007C1C31"/>
    <w:rsid w:val="007C3EB1"/>
    <w:rsid w:val="007D49AA"/>
    <w:rsid w:val="007D61DC"/>
    <w:rsid w:val="007D654E"/>
    <w:rsid w:val="007D6CAA"/>
    <w:rsid w:val="007E06A1"/>
    <w:rsid w:val="007E1130"/>
    <w:rsid w:val="007E2316"/>
    <w:rsid w:val="007F2890"/>
    <w:rsid w:val="007F289A"/>
    <w:rsid w:val="007F32E5"/>
    <w:rsid w:val="007F5A57"/>
    <w:rsid w:val="007F76AC"/>
    <w:rsid w:val="00801990"/>
    <w:rsid w:val="00803201"/>
    <w:rsid w:val="0080623A"/>
    <w:rsid w:val="008067A3"/>
    <w:rsid w:val="0080699B"/>
    <w:rsid w:val="008137EF"/>
    <w:rsid w:val="00813E12"/>
    <w:rsid w:val="00814D21"/>
    <w:rsid w:val="00816AE2"/>
    <w:rsid w:val="008179FA"/>
    <w:rsid w:val="0082201A"/>
    <w:rsid w:val="008303BE"/>
    <w:rsid w:val="008335E8"/>
    <w:rsid w:val="00837D06"/>
    <w:rsid w:val="008413B1"/>
    <w:rsid w:val="0084407E"/>
    <w:rsid w:val="00844882"/>
    <w:rsid w:val="00844D61"/>
    <w:rsid w:val="00845417"/>
    <w:rsid w:val="008543BB"/>
    <w:rsid w:val="00856D97"/>
    <w:rsid w:val="0085741A"/>
    <w:rsid w:val="00857962"/>
    <w:rsid w:val="00861A7A"/>
    <w:rsid w:val="008623AE"/>
    <w:rsid w:val="00862FDE"/>
    <w:rsid w:val="008646A6"/>
    <w:rsid w:val="0086544B"/>
    <w:rsid w:val="00874CB3"/>
    <w:rsid w:val="008762AF"/>
    <w:rsid w:val="0088191B"/>
    <w:rsid w:val="008820CE"/>
    <w:rsid w:val="008851B0"/>
    <w:rsid w:val="008939EE"/>
    <w:rsid w:val="008952DD"/>
    <w:rsid w:val="0089555D"/>
    <w:rsid w:val="00895B36"/>
    <w:rsid w:val="008A6E97"/>
    <w:rsid w:val="008B0ACC"/>
    <w:rsid w:val="008B27D5"/>
    <w:rsid w:val="008B3FAA"/>
    <w:rsid w:val="008B57A4"/>
    <w:rsid w:val="008B5AC2"/>
    <w:rsid w:val="008B5ACA"/>
    <w:rsid w:val="008B7B29"/>
    <w:rsid w:val="008C0B68"/>
    <w:rsid w:val="008C751E"/>
    <w:rsid w:val="008D0F71"/>
    <w:rsid w:val="008D3300"/>
    <w:rsid w:val="008D358E"/>
    <w:rsid w:val="008D5EEF"/>
    <w:rsid w:val="008E0D0A"/>
    <w:rsid w:val="008E12AF"/>
    <w:rsid w:val="008E2479"/>
    <w:rsid w:val="008E2734"/>
    <w:rsid w:val="008E2E8B"/>
    <w:rsid w:val="008E45E0"/>
    <w:rsid w:val="008E5A97"/>
    <w:rsid w:val="008E6967"/>
    <w:rsid w:val="008F0145"/>
    <w:rsid w:val="008F064B"/>
    <w:rsid w:val="008F2E1A"/>
    <w:rsid w:val="008F4E94"/>
    <w:rsid w:val="008F5676"/>
    <w:rsid w:val="00913F12"/>
    <w:rsid w:val="00914EA6"/>
    <w:rsid w:val="00921464"/>
    <w:rsid w:val="0094014C"/>
    <w:rsid w:val="00940766"/>
    <w:rsid w:val="0094107C"/>
    <w:rsid w:val="009430C6"/>
    <w:rsid w:val="00950597"/>
    <w:rsid w:val="00955A36"/>
    <w:rsid w:val="0095640E"/>
    <w:rsid w:val="00956BCC"/>
    <w:rsid w:val="00956E04"/>
    <w:rsid w:val="009570B5"/>
    <w:rsid w:val="00961613"/>
    <w:rsid w:val="00970719"/>
    <w:rsid w:val="00973DCF"/>
    <w:rsid w:val="00985870"/>
    <w:rsid w:val="009935A0"/>
    <w:rsid w:val="009A3FD5"/>
    <w:rsid w:val="009A6C3A"/>
    <w:rsid w:val="009A7175"/>
    <w:rsid w:val="009B33DF"/>
    <w:rsid w:val="009B5113"/>
    <w:rsid w:val="009B7487"/>
    <w:rsid w:val="009C17D8"/>
    <w:rsid w:val="009C1F68"/>
    <w:rsid w:val="009C3AE4"/>
    <w:rsid w:val="009D0FAD"/>
    <w:rsid w:val="009D2321"/>
    <w:rsid w:val="009D5B25"/>
    <w:rsid w:val="009D7C28"/>
    <w:rsid w:val="009E04A9"/>
    <w:rsid w:val="009E3009"/>
    <w:rsid w:val="009E3CAB"/>
    <w:rsid w:val="009E5183"/>
    <w:rsid w:val="009E6C9A"/>
    <w:rsid w:val="009F2E73"/>
    <w:rsid w:val="009F4744"/>
    <w:rsid w:val="009F67F2"/>
    <w:rsid w:val="00A00948"/>
    <w:rsid w:val="00A02061"/>
    <w:rsid w:val="00A04ED0"/>
    <w:rsid w:val="00A06C23"/>
    <w:rsid w:val="00A11238"/>
    <w:rsid w:val="00A11909"/>
    <w:rsid w:val="00A11964"/>
    <w:rsid w:val="00A11B8B"/>
    <w:rsid w:val="00A1209F"/>
    <w:rsid w:val="00A1382C"/>
    <w:rsid w:val="00A165F5"/>
    <w:rsid w:val="00A20B40"/>
    <w:rsid w:val="00A367AB"/>
    <w:rsid w:val="00A403CD"/>
    <w:rsid w:val="00A40B26"/>
    <w:rsid w:val="00A40D77"/>
    <w:rsid w:val="00A434E7"/>
    <w:rsid w:val="00A43F39"/>
    <w:rsid w:val="00A456FC"/>
    <w:rsid w:val="00A50724"/>
    <w:rsid w:val="00A605E8"/>
    <w:rsid w:val="00A62978"/>
    <w:rsid w:val="00A62B36"/>
    <w:rsid w:val="00A63164"/>
    <w:rsid w:val="00A640D2"/>
    <w:rsid w:val="00A6642F"/>
    <w:rsid w:val="00A674C7"/>
    <w:rsid w:val="00A71BEC"/>
    <w:rsid w:val="00A73228"/>
    <w:rsid w:val="00A740C5"/>
    <w:rsid w:val="00A81876"/>
    <w:rsid w:val="00A83295"/>
    <w:rsid w:val="00A839EB"/>
    <w:rsid w:val="00A83DAB"/>
    <w:rsid w:val="00A871A6"/>
    <w:rsid w:val="00A87415"/>
    <w:rsid w:val="00A9025D"/>
    <w:rsid w:val="00AA66EA"/>
    <w:rsid w:val="00AA6F58"/>
    <w:rsid w:val="00AB101A"/>
    <w:rsid w:val="00AB3832"/>
    <w:rsid w:val="00AB78AE"/>
    <w:rsid w:val="00AC2A1A"/>
    <w:rsid w:val="00AC3814"/>
    <w:rsid w:val="00AC39A3"/>
    <w:rsid w:val="00AC6EA1"/>
    <w:rsid w:val="00AD0CB3"/>
    <w:rsid w:val="00AD5BDD"/>
    <w:rsid w:val="00AE0E35"/>
    <w:rsid w:val="00AE2729"/>
    <w:rsid w:val="00AF12B8"/>
    <w:rsid w:val="00AF1E70"/>
    <w:rsid w:val="00B002D8"/>
    <w:rsid w:val="00B02865"/>
    <w:rsid w:val="00B03140"/>
    <w:rsid w:val="00B0414A"/>
    <w:rsid w:val="00B04C3F"/>
    <w:rsid w:val="00B05292"/>
    <w:rsid w:val="00B0641C"/>
    <w:rsid w:val="00B1048C"/>
    <w:rsid w:val="00B111EA"/>
    <w:rsid w:val="00B13DD3"/>
    <w:rsid w:val="00B14795"/>
    <w:rsid w:val="00B17FF7"/>
    <w:rsid w:val="00B20BBA"/>
    <w:rsid w:val="00B211C1"/>
    <w:rsid w:val="00B24D94"/>
    <w:rsid w:val="00B3254D"/>
    <w:rsid w:val="00B35986"/>
    <w:rsid w:val="00B35BE9"/>
    <w:rsid w:val="00B36663"/>
    <w:rsid w:val="00B37643"/>
    <w:rsid w:val="00B37DB9"/>
    <w:rsid w:val="00B4084A"/>
    <w:rsid w:val="00B469F2"/>
    <w:rsid w:val="00B46C46"/>
    <w:rsid w:val="00B508F3"/>
    <w:rsid w:val="00B52ACC"/>
    <w:rsid w:val="00B5333E"/>
    <w:rsid w:val="00B57077"/>
    <w:rsid w:val="00B608A8"/>
    <w:rsid w:val="00B64FEE"/>
    <w:rsid w:val="00B6746E"/>
    <w:rsid w:val="00B73E60"/>
    <w:rsid w:val="00B765C9"/>
    <w:rsid w:val="00B77308"/>
    <w:rsid w:val="00B85073"/>
    <w:rsid w:val="00B86D27"/>
    <w:rsid w:val="00B8788C"/>
    <w:rsid w:val="00B923E0"/>
    <w:rsid w:val="00B9349C"/>
    <w:rsid w:val="00B9351A"/>
    <w:rsid w:val="00BA2EAB"/>
    <w:rsid w:val="00BA467C"/>
    <w:rsid w:val="00BB1BED"/>
    <w:rsid w:val="00BB489C"/>
    <w:rsid w:val="00BB54FE"/>
    <w:rsid w:val="00BC7396"/>
    <w:rsid w:val="00BD0531"/>
    <w:rsid w:val="00BD112D"/>
    <w:rsid w:val="00BD4A52"/>
    <w:rsid w:val="00BD7B74"/>
    <w:rsid w:val="00BE3479"/>
    <w:rsid w:val="00BE57A6"/>
    <w:rsid w:val="00BE5857"/>
    <w:rsid w:val="00BE5AE7"/>
    <w:rsid w:val="00BE78F1"/>
    <w:rsid w:val="00BF117C"/>
    <w:rsid w:val="00BF3555"/>
    <w:rsid w:val="00BF4E50"/>
    <w:rsid w:val="00BF53E1"/>
    <w:rsid w:val="00BF55FB"/>
    <w:rsid w:val="00BF5A11"/>
    <w:rsid w:val="00BF6BFC"/>
    <w:rsid w:val="00C03069"/>
    <w:rsid w:val="00C04001"/>
    <w:rsid w:val="00C04144"/>
    <w:rsid w:val="00C11070"/>
    <w:rsid w:val="00C11292"/>
    <w:rsid w:val="00C1251F"/>
    <w:rsid w:val="00C13CE2"/>
    <w:rsid w:val="00C15F8D"/>
    <w:rsid w:val="00C174FE"/>
    <w:rsid w:val="00C17691"/>
    <w:rsid w:val="00C20C54"/>
    <w:rsid w:val="00C23850"/>
    <w:rsid w:val="00C27FDF"/>
    <w:rsid w:val="00C31D77"/>
    <w:rsid w:val="00C343B6"/>
    <w:rsid w:val="00C35DFC"/>
    <w:rsid w:val="00C36554"/>
    <w:rsid w:val="00C40484"/>
    <w:rsid w:val="00C435AE"/>
    <w:rsid w:val="00C45323"/>
    <w:rsid w:val="00C47223"/>
    <w:rsid w:val="00C52AD6"/>
    <w:rsid w:val="00C562F7"/>
    <w:rsid w:val="00C61821"/>
    <w:rsid w:val="00C64021"/>
    <w:rsid w:val="00C660B5"/>
    <w:rsid w:val="00C7093D"/>
    <w:rsid w:val="00C72F40"/>
    <w:rsid w:val="00C75B9C"/>
    <w:rsid w:val="00C761A9"/>
    <w:rsid w:val="00C773EC"/>
    <w:rsid w:val="00C81280"/>
    <w:rsid w:val="00C821EF"/>
    <w:rsid w:val="00C843C6"/>
    <w:rsid w:val="00C91DFE"/>
    <w:rsid w:val="00C92987"/>
    <w:rsid w:val="00CA0C23"/>
    <w:rsid w:val="00CB0172"/>
    <w:rsid w:val="00CB1BF7"/>
    <w:rsid w:val="00CB4F31"/>
    <w:rsid w:val="00CB6C4E"/>
    <w:rsid w:val="00CC29C7"/>
    <w:rsid w:val="00CC3333"/>
    <w:rsid w:val="00CC4DFB"/>
    <w:rsid w:val="00CC640E"/>
    <w:rsid w:val="00CD06FE"/>
    <w:rsid w:val="00CD2B6B"/>
    <w:rsid w:val="00CD75F0"/>
    <w:rsid w:val="00CD794C"/>
    <w:rsid w:val="00CD7C80"/>
    <w:rsid w:val="00CE279B"/>
    <w:rsid w:val="00CE3BF0"/>
    <w:rsid w:val="00CE7DF1"/>
    <w:rsid w:val="00CF2AF1"/>
    <w:rsid w:val="00CF2BEA"/>
    <w:rsid w:val="00CF4571"/>
    <w:rsid w:val="00CF4AD2"/>
    <w:rsid w:val="00CF5436"/>
    <w:rsid w:val="00CF5F4F"/>
    <w:rsid w:val="00D016B2"/>
    <w:rsid w:val="00D019B4"/>
    <w:rsid w:val="00D022B8"/>
    <w:rsid w:val="00D054C0"/>
    <w:rsid w:val="00D059AA"/>
    <w:rsid w:val="00D06BB6"/>
    <w:rsid w:val="00D073F2"/>
    <w:rsid w:val="00D07F25"/>
    <w:rsid w:val="00D1185F"/>
    <w:rsid w:val="00D11D1C"/>
    <w:rsid w:val="00D14DB2"/>
    <w:rsid w:val="00D23229"/>
    <w:rsid w:val="00D25C0C"/>
    <w:rsid w:val="00D30857"/>
    <w:rsid w:val="00D32A40"/>
    <w:rsid w:val="00D33FBB"/>
    <w:rsid w:val="00D37C08"/>
    <w:rsid w:val="00D4052B"/>
    <w:rsid w:val="00D40F39"/>
    <w:rsid w:val="00D43359"/>
    <w:rsid w:val="00D43CF9"/>
    <w:rsid w:val="00D524AE"/>
    <w:rsid w:val="00D55390"/>
    <w:rsid w:val="00D6139B"/>
    <w:rsid w:val="00D65146"/>
    <w:rsid w:val="00D70CD4"/>
    <w:rsid w:val="00D765B4"/>
    <w:rsid w:val="00D77205"/>
    <w:rsid w:val="00D81A2D"/>
    <w:rsid w:val="00D82E9D"/>
    <w:rsid w:val="00D833CC"/>
    <w:rsid w:val="00D90BF8"/>
    <w:rsid w:val="00D91BE2"/>
    <w:rsid w:val="00D9419C"/>
    <w:rsid w:val="00D94AF7"/>
    <w:rsid w:val="00D974D3"/>
    <w:rsid w:val="00DA2C78"/>
    <w:rsid w:val="00DA4985"/>
    <w:rsid w:val="00DA5DC2"/>
    <w:rsid w:val="00DA675B"/>
    <w:rsid w:val="00DB0786"/>
    <w:rsid w:val="00DB0D1D"/>
    <w:rsid w:val="00DB359C"/>
    <w:rsid w:val="00DC2481"/>
    <w:rsid w:val="00DC45C5"/>
    <w:rsid w:val="00DC546B"/>
    <w:rsid w:val="00DC61D8"/>
    <w:rsid w:val="00DD06E8"/>
    <w:rsid w:val="00DE12C0"/>
    <w:rsid w:val="00DE3FB1"/>
    <w:rsid w:val="00DE44CF"/>
    <w:rsid w:val="00DE4E80"/>
    <w:rsid w:val="00DF320B"/>
    <w:rsid w:val="00DF551D"/>
    <w:rsid w:val="00DF5D33"/>
    <w:rsid w:val="00E00522"/>
    <w:rsid w:val="00E03759"/>
    <w:rsid w:val="00E070F8"/>
    <w:rsid w:val="00E11E12"/>
    <w:rsid w:val="00E148DE"/>
    <w:rsid w:val="00E16322"/>
    <w:rsid w:val="00E2184F"/>
    <w:rsid w:val="00E21D49"/>
    <w:rsid w:val="00E23250"/>
    <w:rsid w:val="00E31F06"/>
    <w:rsid w:val="00E32623"/>
    <w:rsid w:val="00E3310A"/>
    <w:rsid w:val="00E3437B"/>
    <w:rsid w:val="00E3480E"/>
    <w:rsid w:val="00E414E8"/>
    <w:rsid w:val="00E42B80"/>
    <w:rsid w:val="00E42D79"/>
    <w:rsid w:val="00E47528"/>
    <w:rsid w:val="00E47EE5"/>
    <w:rsid w:val="00E50C38"/>
    <w:rsid w:val="00E529E8"/>
    <w:rsid w:val="00E542C1"/>
    <w:rsid w:val="00E556AE"/>
    <w:rsid w:val="00E56B92"/>
    <w:rsid w:val="00E57752"/>
    <w:rsid w:val="00E6039B"/>
    <w:rsid w:val="00E61F7A"/>
    <w:rsid w:val="00E6368C"/>
    <w:rsid w:val="00E65B65"/>
    <w:rsid w:val="00E66F17"/>
    <w:rsid w:val="00E70BAE"/>
    <w:rsid w:val="00E72345"/>
    <w:rsid w:val="00E7280B"/>
    <w:rsid w:val="00E7496A"/>
    <w:rsid w:val="00E749C9"/>
    <w:rsid w:val="00E74CD4"/>
    <w:rsid w:val="00E77D01"/>
    <w:rsid w:val="00E8016E"/>
    <w:rsid w:val="00E81E9A"/>
    <w:rsid w:val="00E83645"/>
    <w:rsid w:val="00E87B9E"/>
    <w:rsid w:val="00E90A3D"/>
    <w:rsid w:val="00E91D0B"/>
    <w:rsid w:val="00E93B77"/>
    <w:rsid w:val="00E94C4F"/>
    <w:rsid w:val="00E969D3"/>
    <w:rsid w:val="00EA1246"/>
    <w:rsid w:val="00EA3A79"/>
    <w:rsid w:val="00EA3E98"/>
    <w:rsid w:val="00EA41FE"/>
    <w:rsid w:val="00EA4747"/>
    <w:rsid w:val="00EA4AD7"/>
    <w:rsid w:val="00EA62DA"/>
    <w:rsid w:val="00EA7B60"/>
    <w:rsid w:val="00EB083D"/>
    <w:rsid w:val="00EB24F3"/>
    <w:rsid w:val="00EB4ACA"/>
    <w:rsid w:val="00EB5F2A"/>
    <w:rsid w:val="00EB673E"/>
    <w:rsid w:val="00EC042D"/>
    <w:rsid w:val="00EC2927"/>
    <w:rsid w:val="00EC6B90"/>
    <w:rsid w:val="00EC708C"/>
    <w:rsid w:val="00EC76DC"/>
    <w:rsid w:val="00ED2D8B"/>
    <w:rsid w:val="00ED5147"/>
    <w:rsid w:val="00EE022F"/>
    <w:rsid w:val="00EE07E9"/>
    <w:rsid w:val="00EE60DA"/>
    <w:rsid w:val="00EF1885"/>
    <w:rsid w:val="00EF4DED"/>
    <w:rsid w:val="00F0118E"/>
    <w:rsid w:val="00F018A2"/>
    <w:rsid w:val="00F028E2"/>
    <w:rsid w:val="00F02BE7"/>
    <w:rsid w:val="00F065CD"/>
    <w:rsid w:val="00F126B7"/>
    <w:rsid w:val="00F15123"/>
    <w:rsid w:val="00F17B28"/>
    <w:rsid w:val="00F259B7"/>
    <w:rsid w:val="00F267BA"/>
    <w:rsid w:val="00F2733F"/>
    <w:rsid w:val="00F312BB"/>
    <w:rsid w:val="00F338F9"/>
    <w:rsid w:val="00F35929"/>
    <w:rsid w:val="00F40081"/>
    <w:rsid w:val="00F40674"/>
    <w:rsid w:val="00F42C5D"/>
    <w:rsid w:val="00F43824"/>
    <w:rsid w:val="00F50668"/>
    <w:rsid w:val="00F56B83"/>
    <w:rsid w:val="00F677A2"/>
    <w:rsid w:val="00F7624A"/>
    <w:rsid w:val="00F8225F"/>
    <w:rsid w:val="00F8259F"/>
    <w:rsid w:val="00F83841"/>
    <w:rsid w:val="00F83976"/>
    <w:rsid w:val="00F87E88"/>
    <w:rsid w:val="00F96967"/>
    <w:rsid w:val="00FA2122"/>
    <w:rsid w:val="00FA6C67"/>
    <w:rsid w:val="00FB5AEC"/>
    <w:rsid w:val="00FB6276"/>
    <w:rsid w:val="00FB71E9"/>
    <w:rsid w:val="00FC05CC"/>
    <w:rsid w:val="00FC0D61"/>
    <w:rsid w:val="00FC204F"/>
    <w:rsid w:val="00FC5BB2"/>
    <w:rsid w:val="00FD0832"/>
    <w:rsid w:val="00FD552E"/>
    <w:rsid w:val="00FD598F"/>
    <w:rsid w:val="00FE0BFA"/>
    <w:rsid w:val="00FE0E70"/>
    <w:rsid w:val="00FE1626"/>
    <w:rsid w:val="00FE5ECD"/>
    <w:rsid w:val="00FF63D6"/>
    <w:rsid w:val="00FF6B67"/>
    <w:rsid w:val="00FF7E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0094"/>
  <w15:docId w15:val="{4C39B366-6AD5-4CC1-B423-2AF03CDE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2E"/>
    <w:pPr>
      <w:spacing w:after="200" w:line="276" w:lineRule="auto"/>
    </w:pPr>
    <w:rPr>
      <w:rFonts w:ascii="Calibri" w:eastAsiaTheme="minorHAnsi" w:hAnsi="Calibri"/>
      <w:sz w:val="24"/>
      <w:szCs w:val="24"/>
      <w:lang w:val="en-GB" w:eastAsia="en-GB" w:bidi="ar-SA"/>
    </w:rPr>
  </w:style>
  <w:style w:type="paragraph" w:styleId="Heading1">
    <w:name w:val="heading 1"/>
    <w:basedOn w:val="Normal"/>
    <w:next w:val="Normal"/>
    <w:qFormat/>
    <w:rsid w:val="002C1D2C"/>
    <w:pPr>
      <w:keepNext/>
      <w:spacing w:before="240" w:after="60" w:line="312" w:lineRule="auto"/>
      <w:jc w:val="both"/>
      <w:outlineLvl w:val="0"/>
    </w:pPr>
    <w:rPr>
      <w:rFonts w:eastAsia="Times New Roman" w:cs="David"/>
      <w:b/>
      <w:bCs/>
      <w:snapToGrid w:val="0"/>
      <w:kern w:val="28"/>
      <w:sz w:val="28"/>
      <w:szCs w:val="28"/>
      <w:lang w:val="en-US" w:eastAsia="en-US"/>
    </w:rPr>
  </w:style>
  <w:style w:type="paragraph" w:styleId="Heading2">
    <w:name w:val="heading 2"/>
    <w:basedOn w:val="Normal"/>
    <w:next w:val="E-2"/>
    <w:qFormat/>
    <w:rsid w:val="002C1D2C"/>
    <w:pPr>
      <w:keepNext/>
      <w:spacing w:before="120" w:after="60" w:line="312" w:lineRule="auto"/>
      <w:ind w:left="720" w:hanging="720"/>
      <w:jc w:val="both"/>
      <w:outlineLvl w:val="1"/>
    </w:pPr>
    <w:rPr>
      <w:rFonts w:eastAsia="Times New Roman" w:cs="David"/>
      <w:b/>
      <w:bCs/>
      <w:i/>
      <w:iCs/>
      <w:snapToGrid w:val="0"/>
      <w:szCs w:val="28"/>
      <w:lang w:val="en-US" w:eastAsia="en-US"/>
    </w:rPr>
  </w:style>
  <w:style w:type="paragraph" w:styleId="Heading3">
    <w:name w:val="heading 3"/>
    <w:basedOn w:val="Normal"/>
    <w:next w:val="E-2"/>
    <w:autoRedefine/>
    <w:qFormat/>
    <w:rsid w:val="006E3428"/>
    <w:pPr>
      <w:keepNext/>
      <w:spacing w:before="120" w:after="60" w:line="312" w:lineRule="auto"/>
      <w:ind w:left="1985" w:hanging="851"/>
      <w:jc w:val="both"/>
      <w:outlineLvl w:val="2"/>
    </w:pPr>
    <w:rPr>
      <w:rFonts w:eastAsia="Times New Roman" w:cs="David"/>
      <w:b/>
      <w:bCs/>
      <w:snapToGrid w:val="0"/>
      <w:lang w:val="en-US" w:eastAsia="en-US"/>
    </w:rPr>
  </w:style>
  <w:style w:type="paragraph" w:styleId="Heading4">
    <w:name w:val="heading 4"/>
    <w:basedOn w:val="Normal"/>
    <w:next w:val="Normal"/>
    <w:qFormat/>
    <w:rsid w:val="00624827"/>
    <w:pPr>
      <w:keepNext/>
      <w:spacing w:before="60" w:after="60"/>
      <w:outlineLvl w:val="3"/>
    </w:pPr>
    <w:rPr>
      <w:rFonts w:eastAsia="Times New Roman" w:cs="Arial"/>
      <w:b/>
      <w:bCs/>
      <w:iCs/>
      <w:snapToGrid w:val="0"/>
      <w:color w:val="000000"/>
      <w:lang w:val="en-US" w:eastAsia="en-US" w:bidi="he-IL"/>
    </w:rPr>
  </w:style>
  <w:style w:type="paragraph" w:styleId="Heading5">
    <w:name w:val="heading 5"/>
    <w:basedOn w:val="Normal"/>
    <w:next w:val="Normal"/>
    <w:qFormat/>
    <w:rsid w:val="00624827"/>
    <w:pPr>
      <w:outlineLvl w:val="4"/>
    </w:pPr>
    <w:rPr>
      <w:rFonts w:eastAsia="Times New Roman" w:cs="Arial"/>
      <w:b/>
      <w:i/>
      <w:snapToGrid w:val="0"/>
      <w:color w:val="000000"/>
      <w:szCs w:val="22"/>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1">
    <w:name w:val="Bar1"/>
    <w:basedOn w:val="Normal"/>
    <w:rsid w:val="002C1D2C"/>
    <w:pPr>
      <w:pBdr>
        <w:top w:val="single" w:sz="12" w:space="1" w:color="auto"/>
        <w:left w:val="single" w:sz="12" w:space="1" w:color="auto"/>
        <w:bottom w:val="single" w:sz="12" w:space="1" w:color="auto"/>
        <w:right w:val="single" w:sz="12" w:space="1" w:color="auto"/>
      </w:pBdr>
      <w:shd w:val="pct10" w:color="auto" w:fill="auto"/>
      <w:jc w:val="center"/>
    </w:pPr>
    <w:rPr>
      <w:rFonts w:eastAsia="Times New Roman" w:cs="David"/>
      <w:b/>
      <w:bCs/>
      <w:snapToGrid w:val="0"/>
      <w:color w:val="000000"/>
      <w:szCs w:val="28"/>
      <w:lang w:val="en-US" w:eastAsia="en-US"/>
    </w:rPr>
  </w:style>
  <w:style w:type="paragraph" w:customStyle="1" w:styleId="Biblequotes">
    <w:name w:val="Biblequotes"/>
    <w:basedOn w:val="Normal"/>
    <w:rsid w:val="002C1D2C"/>
    <w:pPr>
      <w:jc w:val="both"/>
    </w:pPr>
    <w:rPr>
      <w:rFonts w:ascii="Bookman Old Style" w:eastAsia="Times New Roman" w:hAnsi="Bookman Old Style" w:cs="David"/>
      <w:snapToGrid w:val="0"/>
      <w:color w:val="000000"/>
      <w:sz w:val="22"/>
      <w:lang w:val="en-US" w:eastAsia="en-US"/>
    </w:rPr>
  </w:style>
  <w:style w:type="paragraph" w:customStyle="1" w:styleId="Bigparas">
    <w:name w:val="Bigparas"/>
    <w:basedOn w:val="Normal"/>
    <w:rsid w:val="002C1D2C"/>
    <w:pPr>
      <w:jc w:val="both"/>
    </w:pPr>
    <w:rPr>
      <w:rFonts w:ascii="CG Times" w:eastAsia="Times New Roman" w:cs="David"/>
      <w:b/>
      <w:bCs/>
      <w:snapToGrid w:val="0"/>
      <w:color w:val="000000"/>
      <w:sz w:val="32"/>
      <w:szCs w:val="26"/>
      <w:lang w:val="en-US" w:eastAsia="en-US"/>
    </w:rPr>
  </w:style>
  <w:style w:type="paragraph" w:styleId="CommentText">
    <w:name w:val="annotation text"/>
    <w:basedOn w:val="Normal"/>
    <w:semiHidden/>
    <w:rsid w:val="002C1D2C"/>
    <w:pPr>
      <w:jc w:val="both"/>
    </w:pPr>
    <w:rPr>
      <w:rFonts w:eastAsia="Times New Roman" w:cs="David"/>
      <w:snapToGrid w:val="0"/>
      <w:color w:val="000000"/>
      <w:lang w:val="en-US" w:eastAsia="en-US"/>
    </w:rPr>
  </w:style>
  <w:style w:type="paragraph" w:customStyle="1" w:styleId="copstyle">
    <w:name w:val="copstyle"/>
    <w:basedOn w:val="Normal"/>
    <w:next w:val="Normal"/>
    <w:rsid w:val="002C1D2C"/>
    <w:pPr>
      <w:ind w:left="567" w:hanging="567"/>
      <w:jc w:val="both"/>
    </w:pPr>
    <w:rPr>
      <w:rFonts w:ascii="Gill Sans MT Shadow" w:eastAsia="Times New Roman" w:cs="David"/>
      <w:snapToGrid w:val="0"/>
      <w:color w:val="000000"/>
      <w:sz w:val="26"/>
      <w:lang w:val="en-US" w:eastAsia="en-US"/>
    </w:rPr>
  </w:style>
  <w:style w:type="paragraph" w:customStyle="1" w:styleId="Dial1">
    <w:name w:val="Dial1"/>
    <w:basedOn w:val="Normal"/>
    <w:rsid w:val="002C1D2C"/>
    <w:pPr>
      <w:spacing w:line="199" w:lineRule="auto"/>
    </w:pPr>
    <w:rPr>
      <w:rFonts w:ascii="Newdial" w:hAnsi="Newdial" w:cs="Miriam"/>
      <w:bCs/>
      <w:iCs/>
      <w:color w:val="008080"/>
      <w:spacing w:val="8"/>
      <w:sz w:val="28"/>
    </w:rPr>
  </w:style>
  <w:style w:type="paragraph" w:customStyle="1" w:styleId="Dial2">
    <w:name w:val="Dial2"/>
    <w:basedOn w:val="Dial1"/>
    <w:rsid w:val="002C1D2C"/>
    <w:pPr>
      <w:shd w:val="pct75" w:color="000000" w:fill="FFFFFF"/>
    </w:pPr>
    <w:rPr>
      <w:color w:val="00FF00"/>
    </w:rPr>
  </w:style>
  <w:style w:type="paragraph" w:customStyle="1" w:styleId="E-1">
    <w:name w:val="E-1"/>
    <w:basedOn w:val="Normal"/>
    <w:rsid w:val="002C1D2C"/>
    <w:pPr>
      <w:ind w:left="567" w:hanging="567"/>
      <w:jc w:val="both"/>
    </w:pPr>
    <w:rPr>
      <w:rFonts w:eastAsia="Times New Roman" w:cs="David"/>
      <w:snapToGrid w:val="0"/>
      <w:color w:val="000000"/>
      <w:szCs w:val="26"/>
      <w:lang w:val="en-US" w:eastAsia="en-US"/>
    </w:rPr>
  </w:style>
  <w:style w:type="paragraph" w:customStyle="1" w:styleId="E1-JAFI">
    <w:name w:val="E1-JAFI"/>
    <w:basedOn w:val="Normal"/>
    <w:next w:val="Normal"/>
    <w:rsid w:val="002C1D2C"/>
    <w:pPr>
      <w:ind w:left="720" w:hanging="720"/>
      <w:jc w:val="both"/>
    </w:pPr>
    <w:rPr>
      <w:rFonts w:ascii="Tahoma" w:eastAsia="Times New Roman" w:hAnsi="Tahoma" w:cs="Tahoma"/>
      <w:sz w:val="20"/>
      <w:szCs w:val="20"/>
      <w:lang w:val="en-US" w:eastAsia="en-US" w:bidi="he-IL"/>
    </w:rPr>
  </w:style>
  <w:style w:type="paragraph" w:customStyle="1" w:styleId="E-2">
    <w:name w:val="E-2"/>
    <w:basedOn w:val="Normal"/>
    <w:rsid w:val="002C1D2C"/>
    <w:pPr>
      <w:ind w:left="1276" w:hanging="709"/>
    </w:pPr>
    <w:rPr>
      <w:szCs w:val="26"/>
    </w:rPr>
  </w:style>
  <w:style w:type="paragraph" w:customStyle="1" w:styleId="E-2A">
    <w:name w:val="E-2A"/>
    <w:basedOn w:val="E-2"/>
    <w:rsid w:val="002C1D2C"/>
    <w:pPr>
      <w:widowControl w:val="0"/>
    </w:pPr>
    <w:rPr>
      <w:rFonts w:cs="Miriam"/>
      <w:szCs w:val="24"/>
    </w:rPr>
  </w:style>
  <w:style w:type="paragraph" w:customStyle="1" w:styleId="E-3">
    <w:name w:val="E-3"/>
    <w:basedOn w:val="E-1"/>
    <w:autoRedefine/>
    <w:rsid w:val="002C1D2C"/>
    <w:pPr>
      <w:ind w:left="1985" w:hanging="709"/>
    </w:pPr>
  </w:style>
  <w:style w:type="paragraph" w:customStyle="1" w:styleId="E-4">
    <w:name w:val="E-4"/>
    <w:basedOn w:val="E-1"/>
    <w:rsid w:val="00B13DD3"/>
    <w:pPr>
      <w:ind w:left="2881" w:hanging="896"/>
    </w:pPr>
  </w:style>
  <w:style w:type="paragraph" w:customStyle="1" w:styleId="E-5">
    <w:name w:val="E-5"/>
    <w:basedOn w:val="E-4"/>
    <w:autoRedefine/>
    <w:rsid w:val="00B13DD3"/>
    <w:pPr>
      <w:ind w:left="3960" w:hanging="1080"/>
    </w:pPr>
  </w:style>
  <w:style w:type="paragraph" w:customStyle="1" w:styleId="e-6">
    <w:name w:val="e-6"/>
    <w:basedOn w:val="E-5"/>
    <w:rsid w:val="002C1D2C"/>
    <w:pPr>
      <w:widowControl w:val="0"/>
      <w:ind w:left="3686" w:hanging="567"/>
    </w:pPr>
    <w:rPr>
      <w:snapToGrid/>
    </w:rPr>
  </w:style>
  <w:style w:type="paragraph" w:customStyle="1" w:styleId="E-60">
    <w:name w:val="E-6"/>
    <w:basedOn w:val="E-5"/>
    <w:autoRedefine/>
    <w:rsid w:val="002C1D2C"/>
    <w:pPr>
      <w:ind w:left="3686" w:hanging="567"/>
    </w:pPr>
  </w:style>
  <w:style w:type="paragraph" w:customStyle="1" w:styleId="e-7">
    <w:name w:val="e-7"/>
    <w:basedOn w:val="e-6"/>
    <w:rsid w:val="002C1D2C"/>
    <w:pPr>
      <w:ind w:left="4111" w:hanging="425"/>
    </w:pPr>
    <w:rPr>
      <w:snapToGrid w:val="0"/>
    </w:rPr>
  </w:style>
  <w:style w:type="paragraph" w:customStyle="1" w:styleId="E-70">
    <w:name w:val="E-7"/>
    <w:basedOn w:val="E-60"/>
    <w:autoRedefine/>
    <w:rsid w:val="002C1D2C"/>
    <w:pPr>
      <w:ind w:left="4253"/>
    </w:pPr>
  </w:style>
  <w:style w:type="character" w:styleId="EndnoteReference">
    <w:name w:val="endnote reference"/>
    <w:basedOn w:val="DefaultParagraphFont"/>
    <w:semiHidden/>
    <w:rsid w:val="002C1D2C"/>
    <w:rPr>
      <w:vertAlign w:val="superscript"/>
    </w:rPr>
  </w:style>
  <w:style w:type="paragraph" w:styleId="EndnoteText">
    <w:name w:val="endnote text"/>
    <w:basedOn w:val="Normal"/>
    <w:semiHidden/>
    <w:rsid w:val="002C1D2C"/>
    <w:pPr>
      <w:jc w:val="both"/>
    </w:pPr>
    <w:rPr>
      <w:rFonts w:eastAsia="Times New Roman" w:cs="David"/>
      <w:snapToGrid w:val="0"/>
      <w:color w:val="000000"/>
      <w:sz w:val="20"/>
      <w:szCs w:val="20"/>
      <w:lang w:val="en-US" w:eastAsia="en-US"/>
    </w:rPr>
  </w:style>
  <w:style w:type="paragraph" w:customStyle="1" w:styleId="E-Q">
    <w:name w:val="E-Q"/>
    <w:basedOn w:val="E-1"/>
    <w:rsid w:val="002C1D2C"/>
    <w:pPr>
      <w:tabs>
        <w:tab w:val="left" w:pos="540"/>
      </w:tabs>
      <w:ind w:left="992" w:hanging="992"/>
    </w:pPr>
  </w:style>
  <w:style w:type="paragraph" w:customStyle="1" w:styleId="evalge">
    <w:name w:val="evalge"/>
    <w:basedOn w:val="Normal"/>
    <w:rsid w:val="002C1D2C"/>
    <w:pPr>
      <w:tabs>
        <w:tab w:val="left" w:pos="851"/>
      </w:tabs>
      <w:ind w:left="851" w:right="283" w:hanging="851"/>
    </w:pPr>
    <w:rPr>
      <w:sz w:val="26"/>
    </w:rPr>
  </w:style>
  <w:style w:type="paragraph" w:customStyle="1" w:styleId="evalin">
    <w:name w:val="evalin"/>
    <w:basedOn w:val="evalge"/>
    <w:rsid w:val="002C1D2C"/>
    <w:pPr>
      <w:ind w:left="2268" w:firstLine="0"/>
    </w:pPr>
  </w:style>
  <w:style w:type="paragraph" w:styleId="Footer">
    <w:name w:val="footer"/>
    <w:basedOn w:val="Normal"/>
    <w:rsid w:val="002C1D2C"/>
    <w:pPr>
      <w:tabs>
        <w:tab w:val="center" w:pos="4153"/>
        <w:tab w:val="right" w:pos="8306"/>
      </w:tabs>
      <w:jc w:val="both"/>
    </w:pPr>
    <w:rPr>
      <w:rFonts w:eastAsia="Times New Roman" w:cs="David"/>
      <w:snapToGrid w:val="0"/>
      <w:color w:val="000000"/>
      <w:szCs w:val="26"/>
      <w:lang w:val="en-US" w:eastAsia="en-US"/>
    </w:rPr>
  </w:style>
  <w:style w:type="character" w:styleId="FootnoteReference">
    <w:name w:val="footnote reference"/>
    <w:basedOn w:val="DefaultParagraphFont"/>
    <w:semiHidden/>
    <w:rsid w:val="002C1D2C"/>
    <w:rPr>
      <w:rFonts w:cs="David"/>
      <w:spacing w:val="0"/>
      <w:position w:val="4"/>
      <w:sz w:val="22"/>
      <w:szCs w:val="22"/>
      <w:vertAlign w:val="superscript"/>
    </w:rPr>
  </w:style>
  <w:style w:type="paragraph" w:styleId="FootnoteText">
    <w:name w:val="footnote text"/>
    <w:basedOn w:val="Normal"/>
    <w:semiHidden/>
    <w:rsid w:val="0045301F"/>
    <w:pPr>
      <w:spacing w:after="0"/>
      <w:jc w:val="both"/>
    </w:pPr>
    <w:rPr>
      <w:rFonts w:eastAsia="Times New Roman" w:cs="David"/>
      <w:snapToGrid w:val="0"/>
      <w:color w:val="000000"/>
      <w:sz w:val="22"/>
      <w:szCs w:val="26"/>
      <w:lang w:val="en-US" w:eastAsia="en-US"/>
    </w:rPr>
  </w:style>
  <w:style w:type="paragraph" w:customStyle="1" w:styleId="H-1">
    <w:name w:val="H-1"/>
    <w:basedOn w:val="Normal"/>
    <w:rsid w:val="002C1D2C"/>
    <w:pPr>
      <w:bidi/>
      <w:spacing w:line="300" w:lineRule="auto"/>
    </w:pPr>
    <w:rPr>
      <w:rFonts w:cs="Tahoma"/>
    </w:rPr>
  </w:style>
  <w:style w:type="paragraph" w:customStyle="1" w:styleId="H-2">
    <w:name w:val="H-2"/>
    <w:basedOn w:val="H-1"/>
    <w:rsid w:val="002C1D2C"/>
    <w:pPr>
      <w:ind w:left="706" w:right="706" w:hanging="708"/>
    </w:pPr>
    <w:rPr>
      <w:b/>
      <w:bCs/>
      <w:u w:val="single"/>
    </w:rPr>
  </w:style>
  <w:style w:type="paragraph" w:customStyle="1" w:styleId="H-3">
    <w:name w:val="H-3"/>
    <w:basedOn w:val="H-1"/>
    <w:rsid w:val="002C1D2C"/>
    <w:pPr>
      <w:ind w:left="1699" w:right="1699" w:hanging="426"/>
    </w:pPr>
  </w:style>
  <w:style w:type="paragraph" w:customStyle="1" w:styleId="H-4">
    <w:name w:val="H-4"/>
    <w:basedOn w:val="H-3"/>
    <w:rsid w:val="002C1D2C"/>
    <w:pPr>
      <w:ind w:left="2124" w:right="2124" w:hanging="425"/>
    </w:pPr>
  </w:style>
  <w:style w:type="paragraph" w:styleId="Header">
    <w:name w:val="header"/>
    <w:basedOn w:val="Normal"/>
    <w:rsid w:val="002C1D2C"/>
    <w:pPr>
      <w:tabs>
        <w:tab w:val="center" w:pos="4153"/>
        <w:tab w:val="right" w:pos="8306"/>
      </w:tabs>
      <w:jc w:val="both"/>
    </w:pPr>
    <w:rPr>
      <w:rFonts w:eastAsia="Times New Roman" w:cs="David"/>
      <w:snapToGrid w:val="0"/>
      <w:color w:val="000000"/>
      <w:szCs w:val="26"/>
      <w:lang w:val="en-US" w:eastAsia="en-US"/>
    </w:rPr>
  </w:style>
  <w:style w:type="paragraph" w:customStyle="1" w:styleId="Heading40">
    <w:name w:val="Heading4"/>
    <w:basedOn w:val="Normal"/>
    <w:rsid w:val="002C1D2C"/>
    <w:pPr>
      <w:ind w:left="1985" w:hanging="1276"/>
    </w:pPr>
    <w:rPr>
      <w:i/>
      <w:iCs/>
      <w:szCs w:val="26"/>
    </w:rPr>
  </w:style>
  <w:style w:type="paragraph" w:customStyle="1" w:styleId="HebBiz">
    <w:name w:val="HebBiz"/>
    <w:basedOn w:val="Normal"/>
    <w:rsid w:val="002C1D2C"/>
    <w:rPr>
      <w:rFonts w:cs="Monotype Hadassah"/>
      <w:sz w:val="28"/>
      <w:szCs w:val="22"/>
    </w:rPr>
  </w:style>
  <w:style w:type="character" w:styleId="Hyperlink">
    <w:name w:val="Hyperlink"/>
    <w:basedOn w:val="DefaultParagraphFont"/>
    <w:uiPriority w:val="99"/>
    <w:rsid w:val="002C1D2C"/>
    <w:rPr>
      <w:color w:val="0000FF"/>
      <w:u w:val="single"/>
    </w:rPr>
  </w:style>
  <w:style w:type="paragraph" w:customStyle="1" w:styleId="JustRed">
    <w:name w:val="JustRed"/>
    <w:basedOn w:val="Normal"/>
    <w:next w:val="Normal"/>
    <w:rsid w:val="002C1D2C"/>
    <w:rPr>
      <w:color w:val="FF0000"/>
      <w:szCs w:val="26"/>
    </w:rPr>
  </w:style>
  <w:style w:type="paragraph" w:customStyle="1" w:styleId="Miraquote">
    <w:name w:val="Miraquote"/>
    <w:basedOn w:val="Normal"/>
    <w:rsid w:val="002C1D2C"/>
    <w:pPr>
      <w:ind w:left="567"/>
    </w:pPr>
    <w:rPr>
      <w:b/>
      <w:bCs/>
    </w:rPr>
  </w:style>
  <w:style w:type="paragraph" w:customStyle="1" w:styleId="oo-1">
    <w:name w:val="oo-1"/>
    <w:basedOn w:val="Normal"/>
    <w:rsid w:val="002C1D2C"/>
    <w:pPr>
      <w:ind w:left="1276" w:hanging="425"/>
    </w:pPr>
  </w:style>
  <w:style w:type="paragraph" w:customStyle="1" w:styleId="oo-2">
    <w:name w:val="oo-2"/>
    <w:basedOn w:val="Normal"/>
    <w:rsid w:val="002C1D2C"/>
    <w:pPr>
      <w:ind w:left="851" w:hanging="851"/>
    </w:pPr>
  </w:style>
  <w:style w:type="paragraph" w:customStyle="1" w:styleId="P1">
    <w:name w:val="P1"/>
    <w:basedOn w:val="Normal"/>
    <w:rsid w:val="002C1D2C"/>
    <w:pPr>
      <w:ind w:firstLine="567"/>
    </w:pPr>
    <w:rPr>
      <w:rFonts w:cs="Miriam"/>
      <w:szCs w:val="20"/>
    </w:rPr>
  </w:style>
  <w:style w:type="paragraph" w:customStyle="1" w:styleId="p2">
    <w:name w:val="p2"/>
    <w:basedOn w:val="Normal"/>
    <w:rsid w:val="002C1D2C"/>
    <w:pPr>
      <w:spacing w:before="120"/>
      <w:ind w:left="1701" w:hanging="850"/>
    </w:pPr>
    <w:rPr>
      <w:rFonts w:cs="Miriam"/>
    </w:rPr>
  </w:style>
  <w:style w:type="paragraph" w:customStyle="1" w:styleId="p3">
    <w:name w:val="p3"/>
    <w:basedOn w:val="Normal"/>
    <w:rsid w:val="002C1D2C"/>
    <w:pPr>
      <w:spacing w:before="120"/>
      <w:ind w:left="2268" w:hanging="567"/>
    </w:pPr>
    <w:rPr>
      <w:rFonts w:cs="Miriam"/>
    </w:rPr>
  </w:style>
  <w:style w:type="character" w:styleId="PageNumber">
    <w:name w:val="page number"/>
    <w:basedOn w:val="DefaultParagraphFont"/>
    <w:rsid w:val="002C1D2C"/>
    <w:rPr>
      <w:rFonts w:cs="David"/>
    </w:rPr>
  </w:style>
  <w:style w:type="paragraph" w:styleId="Quote">
    <w:name w:val="Quote"/>
    <w:basedOn w:val="E-1"/>
    <w:qFormat/>
    <w:rsid w:val="002C1D2C"/>
    <w:pPr>
      <w:spacing w:after="60" w:line="240" w:lineRule="auto"/>
      <w:ind w:left="851" w:right="652" w:firstLine="0"/>
    </w:pPr>
  </w:style>
  <w:style w:type="paragraph" w:customStyle="1" w:styleId="RafiNorm">
    <w:name w:val="RafiNorm"/>
    <w:basedOn w:val="E-1"/>
    <w:rsid w:val="002C1D2C"/>
    <w:pPr>
      <w:spacing w:before="120" w:after="120"/>
      <w:ind w:left="0" w:right="510" w:firstLine="0"/>
    </w:pPr>
  </w:style>
  <w:style w:type="character" w:customStyle="1" w:styleId="Red">
    <w:name w:val="Red"/>
    <w:basedOn w:val="DefaultParagraphFont"/>
    <w:rsid w:val="002C1D2C"/>
    <w:rPr>
      <w:color w:val="FF0000"/>
    </w:rPr>
  </w:style>
  <w:style w:type="paragraph" w:customStyle="1" w:styleId="Redcomments">
    <w:name w:val="Redcomments"/>
    <w:basedOn w:val="Normal"/>
    <w:rsid w:val="002C1D2C"/>
    <w:rPr>
      <w:b/>
      <w:bCs/>
      <w:color w:val="FF0000"/>
    </w:rPr>
  </w:style>
  <w:style w:type="character" w:customStyle="1" w:styleId="RedDoubts">
    <w:name w:val="RedDoubts"/>
    <w:basedOn w:val="DefaultParagraphFont"/>
    <w:rsid w:val="002C1D2C"/>
    <w:rPr>
      <w:rFonts w:cs="David"/>
      <w:b/>
      <w:color w:val="FF0000"/>
    </w:rPr>
  </w:style>
  <w:style w:type="character" w:customStyle="1" w:styleId="RedWords">
    <w:name w:val="RedWords"/>
    <w:basedOn w:val="DefaultParagraphFont"/>
    <w:rsid w:val="002C1D2C"/>
    <w:rPr>
      <w:rFonts w:cs="David"/>
      <w:color w:val="FF0000"/>
    </w:rPr>
  </w:style>
  <w:style w:type="paragraph" w:customStyle="1" w:styleId="S1">
    <w:name w:val="S1"/>
    <w:basedOn w:val="Normal"/>
    <w:rsid w:val="002C1D2C"/>
    <w:pPr>
      <w:ind w:left="1418" w:hanging="709"/>
    </w:pPr>
    <w:rPr>
      <w:rFonts w:ascii="Tahoma" w:hAnsi="Tahoma" w:cs="Tahoma"/>
      <w:sz w:val="20"/>
    </w:rPr>
  </w:style>
  <w:style w:type="paragraph" w:customStyle="1" w:styleId="S2">
    <w:name w:val="S2"/>
    <w:basedOn w:val="S1"/>
    <w:rsid w:val="002C1D2C"/>
    <w:pPr>
      <w:ind w:left="1985" w:hanging="567"/>
    </w:pPr>
  </w:style>
  <w:style w:type="paragraph" w:customStyle="1" w:styleId="S-2">
    <w:name w:val="S-2"/>
    <w:basedOn w:val="E-2"/>
    <w:rsid w:val="002C1D2C"/>
    <w:pPr>
      <w:ind w:left="510" w:firstLine="0"/>
    </w:pPr>
    <w:rPr>
      <w:rFonts w:cs="Miriam"/>
    </w:rPr>
  </w:style>
  <w:style w:type="paragraph" w:customStyle="1" w:styleId="S3">
    <w:name w:val="S3"/>
    <w:basedOn w:val="S1"/>
    <w:rsid w:val="002C1D2C"/>
    <w:pPr>
      <w:ind w:left="2410" w:hanging="425"/>
    </w:pPr>
  </w:style>
  <w:style w:type="paragraph" w:customStyle="1" w:styleId="S-3">
    <w:name w:val="S-3"/>
    <w:basedOn w:val="E-3"/>
    <w:rsid w:val="002C1D2C"/>
    <w:pPr>
      <w:ind w:left="851" w:firstLine="0"/>
    </w:pPr>
  </w:style>
  <w:style w:type="paragraph" w:customStyle="1" w:styleId="S-4">
    <w:name w:val="S-4"/>
    <w:basedOn w:val="E-4"/>
    <w:rsid w:val="002C1D2C"/>
    <w:pPr>
      <w:ind w:left="1276" w:firstLine="0"/>
    </w:pPr>
  </w:style>
  <w:style w:type="paragraph" w:customStyle="1" w:styleId="Sagir">
    <w:name w:val="Sagir"/>
    <w:basedOn w:val="Normal"/>
    <w:rsid w:val="002C1D2C"/>
  </w:style>
  <w:style w:type="paragraph" w:customStyle="1" w:styleId="Sagir1">
    <w:name w:val="Sagir1"/>
    <w:basedOn w:val="Sagir"/>
    <w:rsid w:val="002C1D2C"/>
    <w:pPr>
      <w:ind w:left="709" w:hanging="709"/>
    </w:pPr>
  </w:style>
  <w:style w:type="paragraph" w:customStyle="1" w:styleId="Sagir2">
    <w:name w:val="Sagir2"/>
    <w:basedOn w:val="Sagir1"/>
    <w:rsid w:val="002C1D2C"/>
    <w:pPr>
      <w:ind w:left="1276" w:hanging="567"/>
    </w:pPr>
  </w:style>
  <w:style w:type="paragraph" w:customStyle="1" w:styleId="Sagir3">
    <w:name w:val="Sagir3"/>
    <w:basedOn w:val="Sagir2"/>
    <w:rsid w:val="002C1D2C"/>
    <w:pPr>
      <w:ind w:left="1843"/>
    </w:pPr>
  </w:style>
  <w:style w:type="paragraph" w:customStyle="1" w:styleId="Sagir4">
    <w:name w:val="Sagir4"/>
    <w:basedOn w:val="Sagir3"/>
    <w:rsid w:val="002C1D2C"/>
    <w:pPr>
      <w:ind w:left="2268" w:hanging="425"/>
    </w:pPr>
  </w:style>
  <w:style w:type="paragraph" w:customStyle="1" w:styleId="SagirQuote">
    <w:name w:val="SagirQuote"/>
    <w:basedOn w:val="Sagir"/>
    <w:rsid w:val="002C1D2C"/>
    <w:pPr>
      <w:ind w:left="567" w:right="512"/>
    </w:pPr>
  </w:style>
  <w:style w:type="paragraph" w:customStyle="1" w:styleId="StandHead">
    <w:name w:val="StandHead"/>
    <w:basedOn w:val="Normal"/>
    <w:rsid w:val="002C1D2C"/>
    <w:pPr>
      <w:jc w:val="center"/>
    </w:pPr>
    <w:rPr>
      <w:b/>
      <w:bCs/>
      <w:u w:val="single"/>
    </w:rPr>
  </w:style>
  <w:style w:type="paragraph" w:customStyle="1" w:styleId="Style1">
    <w:name w:val="Style1"/>
    <w:basedOn w:val="E1-JAFI"/>
    <w:rsid w:val="002C1D2C"/>
    <w:pPr>
      <w:ind w:left="1134" w:hanging="425"/>
    </w:pPr>
  </w:style>
  <w:style w:type="character" w:customStyle="1" w:styleId="Style2">
    <w:name w:val="Style2"/>
    <w:basedOn w:val="DefaultParagraphFont"/>
    <w:rsid w:val="002C1D2C"/>
    <w:rPr>
      <w:rFonts w:cs="David"/>
      <w:color w:val="FF0000"/>
    </w:rPr>
  </w:style>
  <w:style w:type="paragraph" w:customStyle="1" w:styleId="Style3">
    <w:name w:val="Style3"/>
    <w:basedOn w:val="Normal"/>
    <w:rsid w:val="002C1D2C"/>
    <w:rPr>
      <w:sz w:val="22"/>
      <w:szCs w:val="22"/>
    </w:rPr>
  </w:style>
  <w:style w:type="table" w:styleId="TableGrid">
    <w:name w:val="Table Grid"/>
    <w:basedOn w:val="TableNormal"/>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2C1D2C"/>
    <w:pPr>
      <w:tabs>
        <w:tab w:val="right" w:pos="8309"/>
      </w:tabs>
      <w:ind w:left="482" w:hanging="482"/>
    </w:pPr>
    <w:rPr>
      <w:rFonts w:eastAsia="Times New Roman" w:cs="Miriam"/>
      <w:caps/>
      <w:snapToGrid w:val="0"/>
      <w:color w:val="000000"/>
      <w:sz w:val="20"/>
      <w:lang w:val="en-US" w:eastAsia="en-US"/>
    </w:rPr>
  </w:style>
  <w:style w:type="paragraph" w:customStyle="1" w:styleId="TableNames">
    <w:name w:val="TableNames"/>
    <w:basedOn w:val="TableofFigures"/>
    <w:rsid w:val="002C1D2C"/>
    <w:pPr>
      <w:jc w:val="center"/>
    </w:pPr>
    <w:rPr>
      <w:caps w:val="0"/>
      <w:sz w:val="26"/>
    </w:rPr>
  </w:style>
  <w:style w:type="paragraph" w:customStyle="1" w:styleId="Tahoman">
    <w:name w:val="Tahoman"/>
    <w:basedOn w:val="Normal"/>
    <w:rsid w:val="002C1D2C"/>
    <w:rPr>
      <w:rFonts w:ascii="Tahoma" w:hAnsi="Tahoma" w:cs="Dor"/>
    </w:rPr>
  </w:style>
  <w:style w:type="paragraph" w:styleId="TOC1">
    <w:name w:val="toc 1"/>
    <w:basedOn w:val="Normal"/>
    <w:next w:val="Normal"/>
    <w:autoRedefine/>
    <w:semiHidden/>
    <w:rsid w:val="002C1D2C"/>
    <w:pPr>
      <w:spacing w:before="120" w:after="120"/>
    </w:pPr>
    <w:rPr>
      <w:rFonts w:eastAsia="Times New Roman" w:cs="Miriam"/>
      <w:b/>
      <w:bCs/>
      <w:snapToGrid w:val="0"/>
      <w:color w:val="000000"/>
      <w:lang w:val="en-US" w:eastAsia="en-US"/>
    </w:rPr>
  </w:style>
  <w:style w:type="paragraph" w:styleId="TOC2">
    <w:name w:val="toc 2"/>
    <w:basedOn w:val="Normal"/>
    <w:next w:val="Normal"/>
    <w:autoRedefine/>
    <w:semiHidden/>
    <w:rsid w:val="002C1D2C"/>
    <w:pPr>
      <w:tabs>
        <w:tab w:val="right" w:leader="dot" w:pos="8630"/>
      </w:tabs>
      <w:ind w:left="240"/>
    </w:pPr>
    <w:rPr>
      <w:rFonts w:eastAsia="Times New Roman" w:cs="Miriam"/>
      <w:snapToGrid w:val="0"/>
      <w:color w:val="000000"/>
      <w:lang w:val="en-US" w:eastAsia="en-US"/>
    </w:rPr>
  </w:style>
  <w:style w:type="paragraph" w:styleId="TOC3">
    <w:name w:val="toc 3"/>
    <w:basedOn w:val="Normal"/>
    <w:next w:val="Normal"/>
    <w:autoRedefine/>
    <w:semiHidden/>
    <w:rsid w:val="002C1D2C"/>
    <w:pPr>
      <w:tabs>
        <w:tab w:val="right" w:pos="8508"/>
      </w:tabs>
      <w:ind w:left="480"/>
    </w:pPr>
    <w:rPr>
      <w:rFonts w:eastAsia="Times New Roman" w:cs="Miriam"/>
      <w:snapToGrid w:val="0"/>
      <w:color w:val="000000"/>
      <w:sz w:val="20"/>
      <w:lang w:val="en-US" w:eastAsia="en-US"/>
    </w:rPr>
  </w:style>
  <w:style w:type="paragraph" w:styleId="TOC4">
    <w:name w:val="toc 4"/>
    <w:basedOn w:val="Normal"/>
    <w:next w:val="Normal"/>
    <w:autoRedefine/>
    <w:semiHidden/>
    <w:rsid w:val="002C1D2C"/>
    <w:pPr>
      <w:tabs>
        <w:tab w:val="right" w:pos="8508"/>
      </w:tabs>
      <w:ind w:left="720"/>
    </w:pPr>
    <w:rPr>
      <w:rFonts w:eastAsia="Times New Roman" w:cs="Miriam"/>
      <w:snapToGrid w:val="0"/>
      <w:color w:val="000000"/>
      <w:sz w:val="20"/>
      <w:lang w:val="en-US" w:eastAsia="en-US"/>
    </w:rPr>
  </w:style>
  <w:style w:type="paragraph" w:styleId="TOC5">
    <w:name w:val="toc 5"/>
    <w:basedOn w:val="Normal"/>
    <w:next w:val="Normal"/>
    <w:autoRedefine/>
    <w:semiHidden/>
    <w:rsid w:val="002C1D2C"/>
    <w:pPr>
      <w:tabs>
        <w:tab w:val="right" w:pos="8508"/>
      </w:tabs>
      <w:ind w:left="960"/>
    </w:pPr>
    <w:rPr>
      <w:rFonts w:eastAsia="Times New Roman" w:cs="Miriam"/>
      <w:snapToGrid w:val="0"/>
      <w:color w:val="000000"/>
      <w:sz w:val="20"/>
      <w:lang w:val="en-US" w:eastAsia="en-US"/>
    </w:rPr>
  </w:style>
  <w:style w:type="paragraph" w:styleId="TOC6">
    <w:name w:val="toc 6"/>
    <w:basedOn w:val="Normal"/>
    <w:next w:val="Normal"/>
    <w:autoRedefine/>
    <w:semiHidden/>
    <w:rsid w:val="002C1D2C"/>
    <w:pPr>
      <w:tabs>
        <w:tab w:val="right" w:pos="8508"/>
      </w:tabs>
      <w:ind w:left="1200"/>
    </w:pPr>
    <w:rPr>
      <w:rFonts w:eastAsia="Times New Roman" w:cs="Miriam"/>
      <w:snapToGrid w:val="0"/>
      <w:color w:val="000000"/>
      <w:sz w:val="20"/>
      <w:lang w:val="en-US" w:eastAsia="en-US"/>
    </w:rPr>
  </w:style>
  <w:style w:type="paragraph" w:styleId="TOC7">
    <w:name w:val="toc 7"/>
    <w:basedOn w:val="Normal"/>
    <w:next w:val="Normal"/>
    <w:autoRedefine/>
    <w:semiHidden/>
    <w:rsid w:val="002C1D2C"/>
    <w:pPr>
      <w:tabs>
        <w:tab w:val="right" w:pos="8508"/>
      </w:tabs>
      <w:ind w:left="1440"/>
    </w:pPr>
    <w:rPr>
      <w:rFonts w:eastAsia="Times New Roman" w:cs="Miriam"/>
      <w:snapToGrid w:val="0"/>
      <w:color w:val="000000"/>
      <w:sz w:val="20"/>
      <w:lang w:val="en-US" w:eastAsia="en-US"/>
    </w:rPr>
  </w:style>
  <w:style w:type="paragraph" w:styleId="TOC8">
    <w:name w:val="toc 8"/>
    <w:basedOn w:val="Normal"/>
    <w:next w:val="Normal"/>
    <w:autoRedefine/>
    <w:semiHidden/>
    <w:rsid w:val="002C1D2C"/>
    <w:pPr>
      <w:tabs>
        <w:tab w:val="right" w:pos="8508"/>
      </w:tabs>
      <w:ind w:left="1680"/>
    </w:pPr>
    <w:rPr>
      <w:rFonts w:eastAsia="Times New Roman" w:cs="Miriam"/>
      <w:snapToGrid w:val="0"/>
      <w:color w:val="000000"/>
      <w:sz w:val="20"/>
      <w:lang w:val="en-US" w:eastAsia="en-US"/>
    </w:rPr>
  </w:style>
  <w:style w:type="paragraph" w:styleId="TOC9">
    <w:name w:val="toc 9"/>
    <w:basedOn w:val="Normal"/>
    <w:next w:val="Normal"/>
    <w:autoRedefine/>
    <w:semiHidden/>
    <w:rsid w:val="002C1D2C"/>
    <w:pPr>
      <w:tabs>
        <w:tab w:val="right" w:pos="8508"/>
      </w:tabs>
      <w:ind w:left="1920"/>
    </w:pPr>
    <w:rPr>
      <w:rFonts w:eastAsia="Times New Roman" w:cs="Miriam"/>
      <w:snapToGrid w:val="0"/>
      <w:color w:val="000000"/>
      <w:sz w:val="20"/>
      <w:lang w:val="en-US" w:eastAsia="en-US"/>
    </w:rPr>
  </w:style>
  <w:style w:type="paragraph" w:customStyle="1" w:styleId="Whereas">
    <w:name w:val="Whereas"/>
    <w:basedOn w:val="Normal"/>
    <w:rsid w:val="002C1D2C"/>
    <w:pPr>
      <w:ind w:left="1531" w:hanging="1531"/>
    </w:pPr>
  </w:style>
  <w:style w:type="paragraph" w:customStyle="1" w:styleId="YehudHead1">
    <w:name w:val="YehudHead1"/>
    <w:basedOn w:val="Normal"/>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rsid w:val="002C1D2C"/>
    <w:pPr>
      <w:spacing w:line="480" w:lineRule="auto"/>
      <w:ind w:left="709" w:hanging="709"/>
    </w:pPr>
    <w:rPr>
      <w:rFonts w:ascii="Arial"/>
    </w:rPr>
  </w:style>
  <w:style w:type="paragraph" w:customStyle="1" w:styleId="YehudNorm">
    <w:name w:val="YehudNorm"/>
    <w:basedOn w:val="Normal"/>
    <w:rsid w:val="002C1D2C"/>
    <w:pPr>
      <w:spacing w:line="480" w:lineRule="auto"/>
    </w:pPr>
    <w:rPr>
      <w:rFonts w:ascii="Arial"/>
    </w:rPr>
  </w:style>
  <w:style w:type="paragraph" w:customStyle="1" w:styleId="YehudQuote">
    <w:name w:val="YehudQuote"/>
    <w:basedOn w:val="YehudNorm"/>
    <w:rsid w:val="002C1D2C"/>
    <w:pPr>
      <w:spacing w:after="120" w:line="240" w:lineRule="auto"/>
      <w:ind w:left="1276" w:right="936" w:hanging="567"/>
    </w:pPr>
  </w:style>
  <w:style w:type="paragraph" w:customStyle="1" w:styleId="StyleE-3Before175cmHanging111cm">
    <w:name w:val="Style E-3 + Before:  1.75 cm Hanging:  1.11 cm"/>
    <w:basedOn w:val="E-3"/>
    <w:rsid w:val="002C1D2C"/>
    <w:pPr>
      <w:ind w:left="1620" w:hanging="628"/>
    </w:pPr>
  </w:style>
  <w:style w:type="paragraph" w:customStyle="1" w:styleId="DoubleEdge">
    <w:name w:val="Double Edge"/>
    <w:basedOn w:val="E-1"/>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rsid w:val="006E3428"/>
    <w:pPr>
      <w:ind w:left="540" w:hanging="540"/>
    </w:pPr>
    <w:rPr>
      <w:u w:val="single"/>
    </w:rPr>
  </w:style>
  <w:style w:type="paragraph" w:customStyle="1" w:styleId="StyleE-4Before35cmHanging158cm">
    <w:name w:val="Style E-4 + Before:  3.5 cm Hanging:  1.58 cm"/>
    <w:basedOn w:val="E-4"/>
    <w:rsid w:val="00B13DD3"/>
    <w:pPr>
      <w:ind w:left="2880" w:hanging="895"/>
    </w:pPr>
  </w:style>
  <w:style w:type="paragraph" w:customStyle="1" w:styleId="StyleE-4Before35cmHanging158cm1">
    <w:name w:val="Style E-4 + Before:  3.5 cm Hanging:  1.58 cm1"/>
    <w:basedOn w:val="E-4"/>
    <w:rsid w:val="00B13DD3"/>
    <w:pPr>
      <w:ind w:left="2880" w:hanging="895"/>
    </w:pPr>
  </w:style>
  <w:style w:type="paragraph" w:customStyle="1" w:styleId="CookTitle">
    <w:name w:val="CookTitle"/>
    <w:basedOn w:val="Normal"/>
    <w:rsid w:val="004374C9"/>
    <w:pPr>
      <w:jc w:val="center"/>
    </w:pPr>
    <w:rPr>
      <w:rFonts w:ascii="Book Antiqua" w:hAnsi="Book Antiqua" w:cs="Arial"/>
      <w:b/>
      <w:bCs/>
      <w:sz w:val="28"/>
      <w:szCs w:val="28"/>
      <w:lang w:bidi="he-IL"/>
    </w:rPr>
  </w:style>
  <w:style w:type="paragraph" w:customStyle="1" w:styleId="Contributor">
    <w:name w:val="Contributor"/>
    <w:basedOn w:val="Normal"/>
    <w:rsid w:val="004374C9"/>
    <w:pPr>
      <w:jc w:val="center"/>
    </w:pPr>
    <w:rPr>
      <w:rFonts w:ascii="Book Antiqua" w:hAnsi="Book Antiqua" w:cs="Arial"/>
      <w:b/>
      <w:bCs/>
      <w:i/>
      <w:iCs/>
      <w:lang w:bidi="he-IL"/>
    </w:rPr>
  </w:style>
  <w:style w:type="paragraph" w:customStyle="1" w:styleId="EngIngred">
    <w:name w:val="EngIngred"/>
    <w:basedOn w:val="Normal"/>
    <w:rsid w:val="004374C9"/>
    <w:rPr>
      <w:rFonts w:ascii="Arial" w:hAnsi="Arial" w:cs="Arial"/>
      <w:lang w:bidi="he-IL"/>
    </w:rPr>
  </w:style>
  <w:style w:type="paragraph" w:customStyle="1" w:styleId="EngInstruct">
    <w:name w:val="EngInstruct"/>
    <w:basedOn w:val="Normal"/>
    <w:rsid w:val="004374C9"/>
    <w:rPr>
      <w:rFonts w:ascii="Book Antiqua" w:hAnsi="Book Antiqua" w:cs="Arial"/>
      <w:lang w:bidi="he-IL"/>
    </w:rPr>
  </w:style>
  <w:style w:type="paragraph" w:customStyle="1" w:styleId="HebName">
    <w:name w:val="HebName"/>
    <w:basedOn w:val="Normal"/>
    <w:rsid w:val="004374C9"/>
    <w:pPr>
      <w:bidi/>
      <w:jc w:val="center"/>
    </w:pPr>
    <w:rPr>
      <w:rFonts w:cs="Guttman Aharoni"/>
      <w:b/>
      <w:bCs/>
      <w:sz w:val="28"/>
      <w:szCs w:val="28"/>
      <w:lang w:bidi="he-IL"/>
    </w:rPr>
  </w:style>
  <w:style w:type="paragraph" w:customStyle="1" w:styleId="HebContrib">
    <w:name w:val="HebContrib"/>
    <w:basedOn w:val="Normal"/>
    <w:rsid w:val="004374C9"/>
    <w:pPr>
      <w:bidi/>
      <w:jc w:val="center"/>
    </w:pPr>
    <w:rPr>
      <w:rFonts w:cs="Guttman Aharoni"/>
      <w:b/>
      <w:bCs/>
      <w:i/>
      <w:iCs/>
      <w:lang w:bidi="he-IL"/>
    </w:rPr>
  </w:style>
  <w:style w:type="paragraph" w:customStyle="1" w:styleId="HebIngred">
    <w:name w:val="HebIngred"/>
    <w:basedOn w:val="Normal"/>
    <w:rsid w:val="004374C9"/>
    <w:pPr>
      <w:bidi/>
    </w:pPr>
    <w:rPr>
      <w:rFonts w:ascii="Arial" w:hAnsi="Arial" w:cs="Arial"/>
      <w:lang w:bidi="he-IL"/>
    </w:rPr>
  </w:style>
  <w:style w:type="paragraph" w:customStyle="1" w:styleId="HebInstruct">
    <w:name w:val="HebInstruct"/>
    <w:basedOn w:val="Normal"/>
    <w:rsid w:val="004374C9"/>
    <w:pPr>
      <w:bidi/>
    </w:pPr>
    <w:rPr>
      <w:rFonts w:ascii="Tahoma" w:hAnsi="Tahoma" w:cs="Guttman Aharoni"/>
      <w:lang w:bidi="he-IL"/>
    </w:rPr>
  </w:style>
  <w:style w:type="paragraph" w:customStyle="1" w:styleId="Hanadiv">
    <w:name w:val="Hanadiv"/>
    <w:basedOn w:val="Normal"/>
    <w:rsid w:val="0049377A"/>
    <w:rPr>
      <w:rFonts w:ascii="Garamond" w:hAnsi="Garamond"/>
      <w:sz w:val="26"/>
      <w:szCs w:val="26"/>
    </w:rPr>
  </w:style>
  <w:style w:type="paragraph" w:customStyle="1" w:styleId="double-double">
    <w:name w:val="double-double"/>
    <w:basedOn w:val="DoubleEdge"/>
    <w:qFormat/>
    <w:rsid w:val="00D70CD4"/>
    <w:pPr>
      <w:tabs>
        <w:tab w:val="clear" w:pos="567"/>
        <w:tab w:val="left" w:pos="1276"/>
      </w:tabs>
      <w:ind w:left="2268" w:hanging="1701"/>
    </w:pPr>
  </w:style>
  <w:style w:type="paragraph" w:customStyle="1" w:styleId="double-double-double">
    <w:name w:val="double-double-double"/>
    <w:basedOn w:val="double-double"/>
    <w:qFormat/>
    <w:rsid w:val="000A3A69"/>
    <w:pPr>
      <w:tabs>
        <w:tab w:val="clear" w:pos="1276"/>
        <w:tab w:val="left" w:pos="2268"/>
      </w:tabs>
      <w:ind w:left="3544" w:hanging="2268"/>
    </w:pPr>
  </w:style>
  <w:style w:type="paragraph" w:customStyle="1" w:styleId="treble">
    <w:name w:val="treble"/>
    <w:basedOn w:val="E-5"/>
    <w:link w:val="trebleChar"/>
    <w:qFormat/>
    <w:rsid w:val="006219B9"/>
    <w:pPr>
      <w:tabs>
        <w:tab w:val="left" w:pos="3402"/>
      </w:tabs>
      <w:ind w:left="4253" w:hanging="1559"/>
    </w:pPr>
  </w:style>
  <w:style w:type="character" w:customStyle="1" w:styleId="trebleChar">
    <w:name w:val="treble Char"/>
    <w:basedOn w:val="DefaultParagraphFont"/>
    <w:link w:val="treble"/>
    <w:rsid w:val="006219B9"/>
    <w:rPr>
      <w:rFonts w:cs="David"/>
      <w:snapToGrid w:val="0"/>
      <w:color w:val="000000"/>
      <w:sz w:val="24"/>
      <w:szCs w:val="26"/>
      <w:lang w:bidi="ar-SA"/>
    </w:rPr>
  </w:style>
  <w:style w:type="paragraph" w:styleId="NormalWeb">
    <w:name w:val="Normal (Web)"/>
    <w:basedOn w:val="Normal"/>
    <w:uiPriority w:val="99"/>
    <w:semiHidden/>
    <w:unhideWhenUsed/>
    <w:rsid w:val="007B7835"/>
    <w:pPr>
      <w:spacing w:before="100" w:beforeAutospacing="1" w:after="100" w:afterAutospacing="1" w:line="240" w:lineRule="auto"/>
    </w:pPr>
    <w:rPr>
      <w:rFonts w:ascii="Times New Roman" w:eastAsia="Times New Roman" w:hAnsi="Times New Roman"/>
      <w:lang w:val="en-IL" w:eastAsia="en-IL"/>
    </w:rPr>
  </w:style>
  <w:style w:type="character" w:styleId="UnresolvedMention">
    <w:name w:val="Unresolved Mention"/>
    <w:basedOn w:val="DefaultParagraphFont"/>
    <w:uiPriority w:val="99"/>
    <w:semiHidden/>
    <w:unhideWhenUsed/>
    <w:rsid w:val="007A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7336">
      <w:bodyDiv w:val="1"/>
      <w:marLeft w:val="0"/>
      <w:marRight w:val="0"/>
      <w:marTop w:val="0"/>
      <w:marBottom w:val="0"/>
      <w:divBdr>
        <w:top w:val="none" w:sz="0" w:space="0" w:color="auto"/>
        <w:left w:val="none" w:sz="0" w:space="0" w:color="auto"/>
        <w:bottom w:val="none" w:sz="0" w:space="0" w:color="auto"/>
        <w:right w:val="none" w:sz="0" w:space="0" w:color="auto"/>
      </w:divBdr>
    </w:div>
    <w:div w:id="966083018">
      <w:bodyDiv w:val="1"/>
      <w:marLeft w:val="0"/>
      <w:marRight w:val="0"/>
      <w:marTop w:val="0"/>
      <w:marBottom w:val="0"/>
      <w:divBdr>
        <w:top w:val="none" w:sz="0" w:space="0" w:color="auto"/>
        <w:left w:val="none" w:sz="0" w:space="0" w:color="auto"/>
        <w:bottom w:val="none" w:sz="0" w:space="0" w:color="auto"/>
        <w:right w:val="none" w:sz="0" w:space="0" w:color="auto"/>
      </w:divBdr>
    </w:div>
    <w:div w:id="1028457313">
      <w:bodyDiv w:val="1"/>
      <w:marLeft w:val="0"/>
      <w:marRight w:val="0"/>
      <w:marTop w:val="0"/>
      <w:marBottom w:val="0"/>
      <w:divBdr>
        <w:top w:val="none" w:sz="0" w:space="0" w:color="auto"/>
        <w:left w:val="none" w:sz="0" w:space="0" w:color="auto"/>
        <w:bottom w:val="none" w:sz="0" w:space="0" w:color="auto"/>
        <w:right w:val="none" w:sz="0" w:space="0" w:color="auto"/>
      </w:divBdr>
    </w:div>
    <w:div w:id="1963609421">
      <w:bodyDiv w:val="1"/>
      <w:marLeft w:val="105"/>
      <w:marRight w:val="105"/>
      <w:marTop w:val="0"/>
      <w:marBottom w:val="105"/>
      <w:divBdr>
        <w:top w:val="none" w:sz="0" w:space="0" w:color="auto"/>
        <w:left w:val="none" w:sz="0" w:space="0" w:color="auto"/>
        <w:bottom w:val="none" w:sz="0" w:space="0" w:color="auto"/>
        <w:right w:val="none" w:sz="0" w:space="0" w:color="auto"/>
      </w:divBdr>
      <w:divsChild>
        <w:div w:id="157962685">
          <w:marLeft w:val="0"/>
          <w:marRight w:val="0"/>
          <w:marTop w:val="0"/>
          <w:marBottom w:val="0"/>
          <w:divBdr>
            <w:top w:val="none" w:sz="0" w:space="0" w:color="auto"/>
            <w:left w:val="none" w:sz="0" w:space="0" w:color="auto"/>
            <w:bottom w:val="none" w:sz="0" w:space="0" w:color="auto"/>
            <w:right w:val="none" w:sz="0" w:space="0" w:color="auto"/>
          </w:divBdr>
          <w:divsChild>
            <w:div w:id="2052458974">
              <w:marLeft w:val="105"/>
              <w:marRight w:val="105"/>
              <w:marTop w:val="0"/>
              <w:marBottom w:val="105"/>
              <w:divBdr>
                <w:top w:val="none" w:sz="0" w:space="0" w:color="auto"/>
                <w:left w:val="none" w:sz="0" w:space="0" w:color="auto"/>
                <w:bottom w:val="none" w:sz="0" w:space="0" w:color="auto"/>
                <w:right w:val="none" w:sz="0" w:space="0" w:color="auto"/>
              </w:divBdr>
              <w:divsChild>
                <w:div w:id="293561668">
                  <w:marLeft w:val="0"/>
                  <w:marRight w:val="0"/>
                  <w:marTop w:val="0"/>
                  <w:marBottom w:val="0"/>
                  <w:divBdr>
                    <w:top w:val="none" w:sz="0" w:space="0" w:color="auto"/>
                    <w:left w:val="none" w:sz="0" w:space="0" w:color="auto"/>
                    <w:bottom w:val="none" w:sz="0" w:space="0" w:color="auto"/>
                    <w:right w:val="none" w:sz="0" w:space="0" w:color="auto"/>
                  </w:divBdr>
                  <w:divsChild>
                    <w:div w:id="1326394418">
                      <w:marLeft w:val="0"/>
                      <w:marRight w:val="0"/>
                      <w:marTop w:val="0"/>
                      <w:marBottom w:val="0"/>
                      <w:divBdr>
                        <w:top w:val="none" w:sz="0" w:space="0" w:color="auto"/>
                        <w:left w:val="none" w:sz="0" w:space="0" w:color="auto"/>
                        <w:bottom w:val="none" w:sz="0" w:space="0" w:color="auto"/>
                        <w:right w:val="none" w:sz="0" w:space="0" w:color="auto"/>
                      </w:divBdr>
                      <w:divsChild>
                        <w:div w:id="31000705">
                          <w:marLeft w:val="0"/>
                          <w:marRight w:val="0"/>
                          <w:marTop w:val="0"/>
                          <w:marBottom w:val="0"/>
                          <w:divBdr>
                            <w:top w:val="single" w:sz="2" w:space="0" w:color="999999"/>
                            <w:left w:val="single" w:sz="18" w:space="0" w:color="999999"/>
                            <w:bottom w:val="single" w:sz="2" w:space="0" w:color="999999"/>
                            <w:right w:val="single" w:sz="18" w:space="0" w:color="999999"/>
                          </w:divBdr>
                          <w:divsChild>
                            <w:div w:id="1894852948">
                              <w:marLeft w:val="0"/>
                              <w:marRight w:val="0"/>
                              <w:marTop w:val="0"/>
                              <w:marBottom w:val="0"/>
                              <w:divBdr>
                                <w:top w:val="none" w:sz="0" w:space="0" w:color="auto"/>
                                <w:left w:val="none" w:sz="0" w:space="0" w:color="auto"/>
                                <w:bottom w:val="none" w:sz="0" w:space="0" w:color="auto"/>
                                <w:right w:val="none" w:sz="0" w:space="0" w:color="auto"/>
                              </w:divBdr>
                              <w:divsChild>
                                <w:div w:id="623275639">
                                  <w:marLeft w:val="0"/>
                                  <w:marRight w:val="0"/>
                                  <w:marTop w:val="0"/>
                                  <w:marBottom w:val="0"/>
                                  <w:divBdr>
                                    <w:top w:val="single" w:sz="2" w:space="6" w:color="FFFFFF"/>
                                    <w:left w:val="single" w:sz="2" w:space="6" w:color="FFFFFF"/>
                                    <w:bottom w:val="single" w:sz="2" w:space="6" w:color="FFFFFF"/>
                                    <w:right w:val="single" w:sz="2" w:space="6" w:color="FFFFFF"/>
                                  </w:divBdr>
                                  <w:divsChild>
                                    <w:div w:id="390857365">
                                      <w:marLeft w:val="0"/>
                                      <w:marRight w:val="0"/>
                                      <w:marTop w:val="0"/>
                                      <w:marBottom w:val="0"/>
                                      <w:divBdr>
                                        <w:top w:val="none" w:sz="0" w:space="0" w:color="auto"/>
                                        <w:left w:val="none" w:sz="0" w:space="0" w:color="auto"/>
                                        <w:bottom w:val="none" w:sz="0" w:space="0" w:color="auto"/>
                                        <w:right w:val="none" w:sz="0" w:space="0" w:color="auto"/>
                                      </w:divBdr>
                                      <w:divsChild>
                                        <w:div w:id="226651955">
                                          <w:marLeft w:val="0"/>
                                          <w:marRight w:val="0"/>
                                          <w:marTop w:val="0"/>
                                          <w:marBottom w:val="0"/>
                                          <w:divBdr>
                                            <w:top w:val="none" w:sz="0" w:space="0" w:color="auto"/>
                                            <w:left w:val="none" w:sz="0" w:space="0" w:color="auto"/>
                                            <w:bottom w:val="none" w:sz="0" w:space="0" w:color="auto"/>
                                            <w:right w:val="none" w:sz="0" w:space="0" w:color="auto"/>
                                          </w:divBdr>
                                          <w:divsChild>
                                            <w:div w:id="2058386554">
                                              <w:marLeft w:val="0"/>
                                              <w:marRight w:val="0"/>
                                              <w:marTop w:val="0"/>
                                              <w:marBottom w:val="0"/>
                                              <w:divBdr>
                                                <w:top w:val="none" w:sz="0" w:space="0" w:color="auto"/>
                                                <w:left w:val="none" w:sz="0" w:space="0" w:color="auto"/>
                                                <w:bottom w:val="none" w:sz="0" w:space="0" w:color="auto"/>
                                                <w:right w:val="none" w:sz="0" w:space="0" w:color="auto"/>
                                              </w:divBdr>
                                              <w:divsChild>
                                                <w:div w:id="14713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99709">
                                                      <w:marLeft w:val="0"/>
                                                      <w:marRight w:val="0"/>
                                                      <w:marTop w:val="0"/>
                                                      <w:marBottom w:val="0"/>
                                                      <w:divBdr>
                                                        <w:top w:val="none" w:sz="0" w:space="0" w:color="auto"/>
                                                        <w:left w:val="none" w:sz="0" w:space="0" w:color="auto"/>
                                                        <w:bottom w:val="none" w:sz="0" w:space="0" w:color="auto"/>
                                                        <w:right w:val="none" w:sz="0" w:space="0" w:color="auto"/>
                                                      </w:divBdr>
                                                      <w:divsChild>
                                                        <w:div w:id="257518663">
                                                          <w:marLeft w:val="0"/>
                                                          <w:marRight w:val="0"/>
                                                          <w:marTop w:val="0"/>
                                                          <w:marBottom w:val="0"/>
                                                          <w:divBdr>
                                                            <w:top w:val="none" w:sz="0" w:space="0" w:color="auto"/>
                                                            <w:left w:val="none" w:sz="0" w:space="0" w:color="auto"/>
                                                            <w:bottom w:val="none" w:sz="0" w:space="0" w:color="auto"/>
                                                            <w:right w:val="none" w:sz="0" w:space="0" w:color="auto"/>
                                                          </w:divBdr>
                                                          <w:divsChild>
                                                            <w:div w:id="205332783">
                                                              <w:marLeft w:val="0"/>
                                                              <w:marRight w:val="0"/>
                                                              <w:marTop w:val="0"/>
                                                              <w:marBottom w:val="0"/>
                                                              <w:divBdr>
                                                                <w:top w:val="none" w:sz="0" w:space="0" w:color="auto"/>
                                                                <w:left w:val="none" w:sz="0" w:space="0" w:color="auto"/>
                                                                <w:bottom w:val="none" w:sz="0" w:space="0" w:color="auto"/>
                                                                <w:right w:val="none" w:sz="0" w:space="0" w:color="auto"/>
                                                              </w:divBdr>
                                                              <w:divsChild>
                                                                <w:div w:id="516314173">
                                                                  <w:marLeft w:val="0"/>
                                                                  <w:marRight w:val="0"/>
                                                                  <w:marTop w:val="0"/>
                                                                  <w:marBottom w:val="0"/>
                                                                  <w:divBdr>
                                                                    <w:top w:val="none" w:sz="0" w:space="0" w:color="auto"/>
                                                                    <w:left w:val="none" w:sz="0" w:space="0" w:color="auto"/>
                                                                    <w:bottom w:val="none" w:sz="0" w:space="0" w:color="auto"/>
                                                                    <w:right w:val="none" w:sz="0" w:space="0" w:color="auto"/>
                                                                  </w:divBdr>
                                                                </w:div>
                                                                <w:div w:id="1227033984">
                                                                  <w:marLeft w:val="0"/>
                                                                  <w:marRight w:val="0"/>
                                                                  <w:marTop w:val="0"/>
                                                                  <w:marBottom w:val="0"/>
                                                                  <w:divBdr>
                                                                    <w:top w:val="none" w:sz="0" w:space="0" w:color="auto"/>
                                                                    <w:left w:val="none" w:sz="0" w:space="0" w:color="auto"/>
                                                                    <w:bottom w:val="none" w:sz="0" w:space="0" w:color="auto"/>
                                                                    <w:right w:val="none" w:sz="0" w:space="0" w:color="auto"/>
                                                                  </w:divBdr>
                                                                </w:div>
                                                                <w:div w:id="1820421130">
                                                                  <w:marLeft w:val="0"/>
                                                                  <w:marRight w:val="0"/>
                                                                  <w:marTop w:val="0"/>
                                                                  <w:marBottom w:val="0"/>
                                                                  <w:divBdr>
                                                                    <w:top w:val="none" w:sz="0" w:space="0" w:color="auto"/>
                                                                    <w:left w:val="none" w:sz="0" w:space="0" w:color="auto"/>
                                                                    <w:bottom w:val="none" w:sz="0" w:space="0" w:color="auto"/>
                                                                    <w:right w:val="none" w:sz="0" w:space="0" w:color="auto"/>
                                                                  </w:divBdr>
                                                                </w:div>
                                                                <w:div w:id="16121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ublications/policy-and-methodological-publications/istanbul-protocol-manual-effectiv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Shaul</dc:creator>
  <cp:lastModifiedBy>Shaul Vardi</cp:lastModifiedBy>
  <cp:revision>2</cp:revision>
  <dcterms:created xsi:type="dcterms:W3CDTF">2023-11-24T06:24:00Z</dcterms:created>
  <dcterms:modified xsi:type="dcterms:W3CDTF">2023-11-24T06:24:00Z</dcterms:modified>
</cp:coreProperties>
</file>